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31" w:type="dxa"/>
        <w:jc w:val="center"/>
        <w:tblLook w:val="0000" w:firstRow="0" w:lastRow="0" w:firstColumn="0" w:lastColumn="0" w:noHBand="0" w:noVBand="0"/>
      </w:tblPr>
      <w:tblGrid>
        <w:gridCol w:w="5515"/>
        <w:gridCol w:w="5516"/>
      </w:tblGrid>
      <w:tr w:rsidR="00F038B0" w:rsidRPr="007A5B79" w:rsidTr="00C70B9B">
        <w:trPr>
          <w:trHeight w:val="1839"/>
          <w:jc w:val="center"/>
        </w:trPr>
        <w:tc>
          <w:tcPr>
            <w:tcW w:w="5515" w:type="dxa"/>
          </w:tcPr>
          <w:p w:rsidR="00F038B0" w:rsidRPr="007A5B79" w:rsidRDefault="004A42FE" w:rsidP="00F038B0">
            <w:pPr>
              <w:pBdr>
                <w:top w:val="single" w:sz="6" w:space="0" w:color="FFFFFF"/>
                <w:left w:val="single" w:sz="6" w:space="0" w:color="FFFFFF"/>
                <w:bottom w:val="single" w:sz="6" w:space="0" w:color="FFFFFF"/>
                <w:right w:val="single" w:sz="6" w:space="0" w:color="FFFFFF"/>
              </w:pBdr>
              <w:jc w:val="center"/>
            </w:pPr>
            <w:bookmarkStart w:id="0" w:name="_GoBack"/>
            <w:bookmarkEnd w:id="0"/>
            <w:r>
              <w:rPr>
                <w:noProof/>
              </w:rPr>
              <w:drawing>
                <wp:inline distT="0" distB="0" distL="0" distR="0" wp14:anchorId="0DC49ECB" wp14:editId="4B0C7E67">
                  <wp:extent cx="1362075" cy="13716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l="-1396" t="-970" r="-1396" b="-970"/>
                          <a:stretch>
                            <a:fillRect/>
                          </a:stretch>
                        </pic:blipFill>
                        <pic:spPr bwMode="auto">
                          <a:xfrm>
                            <a:off x="0" y="0"/>
                            <a:ext cx="1362075" cy="1371600"/>
                          </a:xfrm>
                          <a:prstGeom prst="rect">
                            <a:avLst/>
                          </a:prstGeom>
                          <a:noFill/>
                          <a:ln>
                            <a:noFill/>
                          </a:ln>
                        </pic:spPr>
                      </pic:pic>
                    </a:graphicData>
                  </a:graphic>
                </wp:inline>
              </w:drawing>
            </w:r>
          </w:p>
        </w:tc>
        <w:tc>
          <w:tcPr>
            <w:tcW w:w="5515" w:type="dxa"/>
          </w:tcPr>
          <w:p w:rsidR="00F038B0" w:rsidRPr="007A5B79" w:rsidRDefault="00F038B0">
            <w:pPr>
              <w:rPr>
                <w:b/>
                <w:bCs/>
                <w:smallCaps/>
              </w:rPr>
            </w:pPr>
            <w:r w:rsidRPr="007A5B79">
              <w:rPr>
                <w:b/>
                <w:bCs/>
                <w:smallCaps/>
              </w:rPr>
              <w:t>The Council of the City of New York</w:t>
            </w:r>
          </w:p>
          <w:p w:rsidR="00F038B0" w:rsidRPr="007A5B79" w:rsidRDefault="00F038B0" w:rsidP="003841B2">
            <w:pPr>
              <w:rPr>
                <w:b/>
                <w:bCs/>
                <w:smallCaps/>
              </w:rPr>
            </w:pPr>
            <w:r w:rsidRPr="007A5B79">
              <w:rPr>
                <w:b/>
                <w:bCs/>
                <w:smallCaps/>
              </w:rPr>
              <w:t>Finance Division</w:t>
            </w:r>
          </w:p>
          <w:p w:rsidR="003C5BFC" w:rsidRDefault="003C5BFC" w:rsidP="003C5BFC">
            <w:pPr>
              <w:spacing w:line="240" w:lineRule="exact"/>
              <w:jc w:val="both"/>
              <w:rPr>
                <w:b/>
                <w:bCs/>
                <w:smallCaps/>
                <w:sz w:val="22"/>
                <w:szCs w:val="22"/>
              </w:rPr>
            </w:pPr>
          </w:p>
          <w:p w:rsidR="003C5BFC" w:rsidRDefault="003C5BFC" w:rsidP="003C5BFC">
            <w:pPr>
              <w:spacing w:line="240" w:lineRule="exact"/>
              <w:jc w:val="both"/>
              <w:rPr>
                <w:b/>
                <w:bCs/>
                <w:smallCaps/>
                <w:sz w:val="22"/>
                <w:szCs w:val="22"/>
              </w:rPr>
            </w:pPr>
            <w:r w:rsidRPr="003C5BFC">
              <w:rPr>
                <w:b/>
                <w:bCs/>
                <w:smallCaps/>
                <w:sz w:val="22"/>
                <w:szCs w:val="22"/>
              </w:rPr>
              <w:t>Tanisha Edwards, Esq., Chief Financial Officer and Deputy Chief of Staff to the Speaker</w:t>
            </w:r>
          </w:p>
          <w:p w:rsidR="00454E1E" w:rsidRDefault="00454E1E" w:rsidP="003C5BFC">
            <w:pPr>
              <w:spacing w:line="240" w:lineRule="exact"/>
              <w:jc w:val="both"/>
              <w:rPr>
                <w:b/>
                <w:bCs/>
                <w:smallCaps/>
                <w:sz w:val="22"/>
                <w:szCs w:val="22"/>
              </w:rPr>
            </w:pPr>
          </w:p>
          <w:p w:rsidR="00454E1E" w:rsidRPr="003C5BFC" w:rsidRDefault="00454E1E" w:rsidP="003C5BFC">
            <w:pPr>
              <w:spacing w:line="240" w:lineRule="exact"/>
              <w:jc w:val="both"/>
              <w:rPr>
                <w:b/>
                <w:bCs/>
                <w:smallCaps/>
                <w:sz w:val="22"/>
                <w:szCs w:val="22"/>
              </w:rPr>
            </w:pPr>
            <w:r>
              <w:rPr>
                <w:b/>
                <w:bCs/>
                <w:smallCaps/>
                <w:sz w:val="22"/>
                <w:szCs w:val="22"/>
              </w:rPr>
              <w:t>Richard lee, director</w:t>
            </w:r>
          </w:p>
          <w:p w:rsidR="00F038B0" w:rsidRPr="007A5B79" w:rsidRDefault="00F038B0" w:rsidP="00C70B9B">
            <w:pPr>
              <w:spacing w:before="120"/>
            </w:pPr>
            <w:r w:rsidRPr="007A5B79">
              <w:rPr>
                <w:b/>
                <w:bCs/>
                <w:smallCaps/>
              </w:rPr>
              <w:t>Fiscal Impact Statement</w:t>
            </w:r>
          </w:p>
          <w:p w:rsidR="00F038B0" w:rsidRPr="00E70CCF" w:rsidRDefault="00F038B0" w:rsidP="00C70B9B">
            <w:pPr>
              <w:spacing w:before="120"/>
              <w:rPr>
                <w:b/>
              </w:rPr>
            </w:pPr>
            <w:r>
              <w:rPr>
                <w:b/>
                <w:bCs/>
              </w:rPr>
              <w:t>Preconsidered SLR</w:t>
            </w:r>
            <w:r w:rsidRPr="007A5B79">
              <w:rPr>
                <w:b/>
                <w:bCs/>
              </w:rPr>
              <w:t>:</w:t>
            </w:r>
            <w:r w:rsidRPr="007A5B79">
              <w:rPr>
                <w:b/>
              </w:rPr>
              <w:t xml:space="preserve">   </w:t>
            </w:r>
            <w:r w:rsidR="00E70CCF" w:rsidRPr="00E70CCF">
              <w:rPr>
                <w:b/>
              </w:rPr>
              <w:t>S.</w:t>
            </w:r>
            <w:r w:rsidR="003B5641">
              <w:rPr>
                <w:b/>
              </w:rPr>
              <w:t>6246</w:t>
            </w:r>
            <w:r w:rsidRPr="00E70CCF">
              <w:rPr>
                <w:b/>
              </w:rPr>
              <w:t xml:space="preserve"> (</w:t>
            </w:r>
            <w:r w:rsidR="003B5641">
              <w:rPr>
                <w:b/>
              </w:rPr>
              <w:t>Gounardes</w:t>
            </w:r>
            <w:r w:rsidRPr="00E70CCF">
              <w:rPr>
                <w:b/>
              </w:rPr>
              <w:t>)</w:t>
            </w:r>
          </w:p>
          <w:p w:rsidR="00F038B0" w:rsidRPr="00E70CCF" w:rsidRDefault="00F038B0">
            <w:pPr>
              <w:rPr>
                <w:b/>
              </w:rPr>
            </w:pPr>
            <w:r w:rsidRPr="00E70CCF">
              <w:rPr>
                <w:b/>
              </w:rPr>
              <w:t xml:space="preserve">                                     A.</w:t>
            </w:r>
            <w:r w:rsidR="003B5641">
              <w:rPr>
                <w:b/>
              </w:rPr>
              <w:t xml:space="preserve">6225 </w:t>
            </w:r>
            <w:r w:rsidRPr="00E70CCF">
              <w:rPr>
                <w:b/>
              </w:rPr>
              <w:t>(</w:t>
            </w:r>
            <w:r w:rsidR="003B5641">
              <w:rPr>
                <w:b/>
              </w:rPr>
              <w:t>Simon</w:t>
            </w:r>
            <w:r w:rsidRPr="00E70CCF">
              <w:rPr>
                <w:b/>
              </w:rPr>
              <w:t>)</w:t>
            </w:r>
          </w:p>
          <w:p w:rsidR="00F038B0" w:rsidRPr="007A5B79" w:rsidRDefault="00F038B0" w:rsidP="00CC3102">
            <w:pPr>
              <w:tabs>
                <w:tab w:val="left" w:pos="-1440"/>
              </w:tabs>
              <w:spacing w:before="120" w:after="120"/>
              <w:ind w:left="1440" w:hanging="1440"/>
            </w:pPr>
            <w:r w:rsidRPr="007A5B79">
              <w:rPr>
                <w:b/>
                <w:bCs/>
                <w:smallCaps/>
              </w:rPr>
              <w:t>Committee</w:t>
            </w:r>
            <w:r w:rsidRPr="007A5B79">
              <w:rPr>
                <w:b/>
                <w:bCs/>
              </w:rPr>
              <w:t>:</w:t>
            </w:r>
            <w:r w:rsidRPr="007A5B79">
              <w:tab/>
            </w:r>
            <w:r w:rsidR="00CC3102">
              <w:t>Committee on State and Federal Legislation</w:t>
            </w:r>
            <w:r w:rsidRPr="007A5B79">
              <w:tab/>
            </w:r>
          </w:p>
        </w:tc>
      </w:tr>
      <w:tr w:rsidR="00F038B0" w:rsidRPr="00C70B9B" w:rsidTr="00C70B9B">
        <w:trPr>
          <w:trHeight w:val="1184"/>
          <w:jc w:val="center"/>
        </w:trPr>
        <w:tc>
          <w:tcPr>
            <w:tcW w:w="5515" w:type="dxa"/>
            <w:tcBorders>
              <w:bottom w:val="single" w:sz="4" w:space="0" w:color="auto"/>
            </w:tcBorders>
          </w:tcPr>
          <w:p w:rsidR="003B5641" w:rsidRPr="003B5641" w:rsidRDefault="00F038B0" w:rsidP="003B5641">
            <w:pPr>
              <w:pStyle w:val="HTMLPreformatted"/>
              <w:jc w:val="both"/>
              <w:rPr>
                <w:rFonts w:ascii="Times New Roman" w:hAnsi="Times New Roman"/>
                <w:bCs/>
                <w:sz w:val="24"/>
                <w:szCs w:val="24"/>
                <w:lang w:val="en-US" w:eastAsia="en-US"/>
              </w:rPr>
            </w:pPr>
            <w:r w:rsidRPr="003B5641">
              <w:rPr>
                <w:rFonts w:ascii="Times New Roman" w:hAnsi="Times New Roman"/>
                <w:b/>
                <w:bCs/>
                <w:smallCaps/>
                <w:sz w:val="24"/>
                <w:szCs w:val="24"/>
                <w:lang w:val="en-US" w:eastAsia="en-US"/>
              </w:rPr>
              <w:t>Title:</w:t>
            </w:r>
            <w:r w:rsidRPr="00E94FE3">
              <w:t xml:space="preserve"> </w:t>
            </w:r>
            <w:r w:rsidR="003B5641" w:rsidRPr="003B5641">
              <w:rPr>
                <w:rFonts w:ascii="Times New Roman" w:hAnsi="Times New Roman"/>
                <w:bCs/>
                <w:sz w:val="24"/>
                <w:szCs w:val="24"/>
                <w:lang w:val="en-US" w:eastAsia="en-US"/>
              </w:rPr>
              <w:t>An act to amend the vehicle and traffic law, in relation to calibration</w:t>
            </w:r>
            <w:r w:rsidR="003B5641">
              <w:rPr>
                <w:rFonts w:ascii="Times New Roman" w:hAnsi="Times New Roman"/>
                <w:bCs/>
                <w:sz w:val="24"/>
                <w:szCs w:val="24"/>
                <w:lang w:val="en-US" w:eastAsia="en-US"/>
              </w:rPr>
              <w:t xml:space="preserve"> </w:t>
            </w:r>
            <w:r w:rsidR="003B5641" w:rsidRPr="003B5641">
              <w:rPr>
                <w:rFonts w:ascii="Times New Roman" w:hAnsi="Times New Roman"/>
                <w:bCs/>
                <w:sz w:val="24"/>
                <w:szCs w:val="24"/>
                <w:lang w:val="en-US" w:eastAsia="en-US"/>
              </w:rPr>
              <w:t>checks for weigh in motion violation monitoring systems</w:t>
            </w:r>
          </w:p>
          <w:p w:rsidR="00F038B0" w:rsidRPr="00E94FE3" w:rsidRDefault="00F038B0" w:rsidP="00D058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pPr>
          </w:p>
        </w:tc>
        <w:tc>
          <w:tcPr>
            <w:tcW w:w="5515" w:type="dxa"/>
            <w:tcBorders>
              <w:bottom w:val="single" w:sz="4" w:space="0" w:color="auto"/>
            </w:tcBorders>
          </w:tcPr>
          <w:p w:rsidR="00F038B0" w:rsidRPr="00C70B9B" w:rsidRDefault="00F038B0" w:rsidP="00D0588D">
            <w:pPr>
              <w:tabs>
                <w:tab w:val="left" w:pos="-1440"/>
              </w:tabs>
              <w:ind w:left="1440" w:hanging="1440"/>
            </w:pPr>
            <w:r w:rsidRPr="00C70B9B">
              <w:rPr>
                <w:b/>
                <w:bCs/>
                <w:smallCaps/>
              </w:rPr>
              <w:t>Sponsor(s)</w:t>
            </w:r>
            <w:r w:rsidRPr="00C70B9B">
              <w:rPr>
                <w:b/>
                <w:bCs/>
              </w:rPr>
              <w:t>:</w:t>
            </w:r>
            <w:r w:rsidRPr="00C70B9B">
              <w:tab/>
            </w:r>
            <w:r w:rsidR="00CC3102">
              <w:t>Council Member Abreu</w:t>
            </w:r>
          </w:p>
        </w:tc>
      </w:tr>
      <w:tr w:rsidR="00F038B0" w:rsidRPr="00C70B9B" w:rsidTr="00C70B9B">
        <w:trPr>
          <w:cantSplit/>
          <w:trHeight w:val="514"/>
          <w:jc w:val="center"/>
        </w:trPr>
        <w:tc>
          <w:tcPr>
            <w:tcW w:w="11031" w:type="dxa"/>
            <w:gridSpan w:val="2"/>
            <w:tcBorders>
              <w:top w:val="single" w:sz="4" w:space="0" w:color="auto"/>
            </w:tcBorders>
          </w:tcPr>
          <w:p w:rsidR="00986ABB" w:rsidRPr="00C70B9B" w:rsidRDefault="00F038B0" w:rsidP="00CD1CEF">
            <w:pPr>
              <w:pStyle w:val="HTMLPreformatted"/>
              <w:jc w:val="both"/>
              <w:rPr>
                <w:bCs/>
              </w:rPr>
            </w:pPr>
            <w:r w:rsidRPr="003B5641">
              <w:rPr>
                <w:rFonts w:ascii="Times New Roman" w:hAnsi="Times New Roman"/>
                <w:b/>
                <w:bCs/>
                <w:smallCaps/>
                <w:sz w:val="24"/>
                <w:szCs w:val="24"/>
                <w:lang w:val="en-US" w:eastAsia="en-US"/>
              </w:rPr>
              <w:t>Summary of Legislation:</w:t>
            </w:r>
            <w:r w:rsidRPr="00C70B9B">
              <w:rPr>
                <w:b/>
                <w:bCs/>
              </w:rPr>
              <w:t xml:space="preserve"> </w:t>
            </w:r>
            <w:r w:rsidR="003B5641" w:rsidRPr="003B5641">
              <w:rPr>
                <w:rFonts w:ascii="Times New Roman" w:hAnsi="Times New Roman"/>
                <w:bCs/>
                <w:sz w:val="24"/>
                <w:szCs w:val="24"/>
                <w:lang w:val="en-US" w:eastAsia="en-US"/>
              </w:rPr>
              <w:t>T</w:t>
            </w:r>
            <w:r w:rsidR="005D64FD">
              <w:rPr>
                <w:rFonts w:ascii="Times New Roman" w:hAnsi="Times New Roman"/>
                <w:bCs/>
                <w:sz w:val="24"/>
                <w:szCs w:val="24"/>
                <w:lang w:val="en-US" w:eastAsia="en-US"/>
              </w:rPr>
              <w:t>his legislation would r</w:t>
            </w:r>
            <w:r w:rsidR="005D64FD" w:rsidRPr="005D64FD">
              <w:rPr>
                <w:rFonts w:ascii="Times New Roman" w:hAnsi="Times New Roman"/>
                <w:bCs/>
                <w:sz w:val="24"/>
                <w:szCs w:val="24"/>
                <w:lang w:val="en-US" w:eastAsia="en-US"/>
              </w:rPr>
              <w:t xml:space="preserve">equires that each weigh in motion violation monitoring system undergo a calibration check every six months in accordance with specifications prescribed pursuant to a memorandum of agreement between the New York city department of transportation and the New York state department of agriculture and markets, or in accordance with an applicable reference standard as determined by the New York city department of transportation. </w:t>
            </w:r>
          </w:p>
        </w:tc>
      </w:tr>
      <w:tr w:rsidR="00F038B0" w:rsidRPr="00C70B9B">
        <w:trPr>
          <w:cantSplit/>
          <w:trHeight w:val="513"/>
          <w:jc w:val="center"/>
        </w:trPr>
        <w:tc>
          <w:tcPr>
            <w:tcW w:w="11031" w:type="dxa"/>
            <w:gridSpan w:val="2"/>
          </w:tcPr>
          <w:p w:rsidR="00F038B0" w:rsidRPr="00C70B9B" w:rsidRDefault="00F038B0" w:rsidP="00D0588D">
            <w:pPr>
              <w:pStyle w:val="HTMLPreformatted"/>
              <w:jc w:val="both"/>
              <w:rPr>
                <w:rFonts w:ascii="Times New Roman" w:hAnsi="Times New Roman"/>
                <w:sz w:val="24"/>
                <w:szCs w:val="24"/>
                <w:lang w:val="en-US" w:eastAsia="en-US"/>
              </w:rPr>
            </w:pPr>
            <w:r w:rsidRPr="00C70B9B">
              <w:rPr>
                <w:rFonts w:ascii="Times New Roman" w:hAnsi="Times New Roman"/>
                <w:b/>
                <w:bCs/>
                <w:smallCaps/>
                <w:sz w:val="24"/>
                <w:szCs w:val="24"/>
                <w:lang w:val="en-US" w:eastAsia="en-US"/>
              </w:rPr>
              <w:t xml:space="preserve">Effective Date: </w:t>
            </w:r>
            <w:r w:rsidRPr="00C70B9B">
              <w:rPr>
                <w:rFonts w:ascii="Times New Roman" w:hAnsi="Times New Roman"/>
                <w:smallCaps/>
                <w:sz w:val="24"/>
                <w:szCs w:val="24"/>
                <w:lang w:val="en-US" w:eastAsia="en-US"/>
              </w:rPr>
              <w:t xml:space="preserve"> </w:t>
            </w:r>
            <w:r w:rsidR="003B5641">
              <w:rPr>
                <w:rFonts w:ascii="Times New Roman" w:hAnsi="Times New Roman"/>
                <w:bCs/>
                <w:sz w:val="24"/>
                <w:szCs w:val="24"/>
                <w:lang w:val="en-US" w:eastAsia="en-US"/>
              </w:rPr>
              <w:t>This act shall take effect immediately</w:t>
            </w:r>
          </w:p>
        </w:tc>
      </w:tr>
      <w:tr w:rsidR="00F038B0" w:rsidRPr="00C70B9B">
        <w:trPr>
          <w:cantSplit/>
          <w:trHeight w:val="376"/>
          <w:jc w:val="center"/>
        </w:trPr>
        <w:tc>
          <w:tcPr>
            <w:tcW w:w="11031" w:type="dxa"/>
            <w:gridSpan w:val="2"/>
            <w:tcBorders>
              <w:bottom w:val="single" w:sz="6" w:space="0" w:color="auto"/>
            </w:tcBorders>
          </w:tcPr>
          <w:p w:rsidR="00F038B0" w:rsidRPr="00C70B9B" w:rsidRDefault="00F038B0" w:rsidP="005D64FD">
            <w:r w:rsidRPr="00C70B9B">
              <w:rPr>
                <w:b/>
                <w:bCs/>
                <w:smallCaps/>
              </w:rPr>
              <w:t>Fiscal Year In Which Full Fiscal Impact Anticipated:</w:t>
            </w:r>
            <w:r w:rsidRPr="00C70B9B">
              <w:t xml:space="preserve"> </w:t>
            </w:r>
            <w:r w:rsidR="00DF5A52">
              <w:t>Fiscal Year 202</w:t>
            </w:r>
            <w:r w:rsidR="005D64FD">
              <w:t>4</w:t>
            </w:r>
          </w:p>
        </w:tc>
      </w:tr>
      <w:tr w:rsidR="00F038B0" w:rsidRPr="00C70B9B">
        <w:trPr>
          <w:cantSplit/>
          <w:trHeight w:val="2103"/>
          <w:jc w:val="center"/>
        </w:trPr>
        <w:tc>
          <w:tcPr>
            <w:tcW w:w="11031" w:type="dxa"/>
            <w:gridSpan w:val="2"/>
            <w:tcBorders>
              <w:top w:val="single" w:sz="6" w:space="0" w:color="auto"/>
            </w:tcBorders>
          </w:tcPr>
          <w:p w:rsidR="00F038B0" w:rsidRPr="00C70B9B" w:rsidRDefault="00F038B0">
            <w:r w:rsidRPr="00C70B9B">
              <w:rPr>
                <w:b/>
                <w:bCs/>
                <w:smallCaps/>
              </w:rPr>
              <w:t>Fiscal Impact Statement:</w:t>
            </w:r>
          </w:p>
          <w:tbl>
            <w:tblPr>
              <w:tblW w:w="0" w:type="auto"/>
              <w:jc w:val="center"/>
              <w:tblCellMar>
                <w:left w:w="141" w:type="dxa"/>
                <w:right w:w="141" w:type="dxa"/>
              </w:tblCellMar>
              <w:tblLook w:val="0000" w:firstRow="0" w:lastRow="0" w:firstColumn="0" w:lastColumn="0" w:noHBand="0" w:noVBand="0"/>
            </w:tblPr>
            <w:tblGrid>
              <w:gridCol w:w="2068"/>
              <w:gridCol w:w="1747"/>
              <w:gridCol w:w="1942"/>
              <w:gridCol w:w="1942"/>
            </w:tblGrid>
            <w:tr w:rsidR="00F038B0" w:rsidRPr="00C70B9B" w:rsidTr="003C5BFC">
              <w:trPr>
                <w:trHeight w:val="620"/>
                <w:jc w:val="center"/>
              </w:trPr>
              <w:tc>
                <w:tcPr>
                  <w:tcW w:w="2068" w:type="dxa"/>
                  <w:tcBorders>
                    <w:top w:val="double" w:sz="7" w:space="0" w:color="000000"/>
                    <w:left w:val="double" w:sz="7" w:space="0" w:color="000000"/>
                    <w:bottom w:val="single" w:sz="6" w:space="0" w:color="FFFFFF"/>
                    <w:right w:val="single" w:sz="6" w:space="0" w:color="FFFFFF"/>
                  </w:tcBorders>
                </w:tcPr>
                <w:p w:rsidR="00F038B0" w:rsidRPr="00C70B9B" w:rsidRDefault="00F038B0">
                  <w:pPr>
                    <w:spacing w:line="201" w:lineRule="exact"/>
                    <w:jc w:val="center"/>
                  </w:pPr>
                </w:p>
                <w:p w:rsidR="00F038B0" w:rsidRPr="00C70B9B" w:rsidRDefault="00F038B0">
                  <w:pPr>
                    <w:jc w:val="center"/>
                    <w:rPr>
                      <w:b/>
                      <w:bCs/>
                    </w:rPr>
                  </w:pPr>
                </w:p>
              </w:tc>
              <w:tc>
                <w:tcPr>
                  <w:tcW w:w="1747" w:type="dxa"/>
                  <w:tcBorders>
                    <w:top w:val="double" w:sz="7" w:space="0" w:color="000000"/>
                    <w:left w:val="single" w:sz="7" w:space="0" w:color="000000"/>
                    <w:bottom w:val="single" w:sz="6" w:space="0" w:color="FFFFFF"/>
                    <w:right w:val="single" w:sz="6" w:space="0" w:color="FFFFFF"/>
                  </w:tcBorders>
                </w:tcPr>
                <w:p w:rsidR="00F038B0" w:rsidRPr="00C70B9B" w:rsidRDefault="00F038B0">
                  <w:pPr>
                    <w:spacing w:line="201" w:lineRule="exact"/>
                    <w:jc w:val="center"/>
                    <w:rPr>
                      <w:b/>
                      <w:bCs/>
                    </w:rPr>
                  </w:pPr>
                </w:p>
                <w:p w:rsidR="00F038B0" w:rsidRPr="00C70B9B" w:rsidRDefault="00F038B0">
                  <w:pPr>
                    <w:jc w:val="center"/>
                    <w:rPr>
                      <w:b/>
                      <w:bCs/>
                    </w:rPr>
                  </w:pPr>
                </w:p>
                <w:p w:rsidR="00F038B0" w:rsidRPr="00C70B9B" w:rsidRDefault="00F038B0" w:rsidP="005D64FD">
                  <w:pPr>
                    <w:jc w:val="center"/>
                    <w:rPr>
                      <w:b/>
                      <w:bCs/>
                    </w:rPr>
                  </w:pPr>
                  <w:r w:rsidRPr="00C70B9B">
                    <w:rPr>
                      <w:b/>
                      <w:bCs/>
                    </w:rPr>
                    <w:t>Effective FY</w:t>
                  </w:r>
                  <w:r w:rsidR="008A5CCE">
                    <w:rPr>
                      <w:b/>
                      <w:bCs/>
                    </w:rPr>
                    <w:t>2</w:t>
                  </w:r>
                  <w:r w:rsidR="005D64FD">
                    <w:rPr>
                      <w:b/>
                      <w:bCs/>
                    </w:rPr>
                    <w:t>3</w:t>
                  </w:r>
                </w:p>
              </w:tc>
              <w:tc>
                <w:tcPr>
                  <w:tcW w:w="1942" w:type="dxa"/>
                  <w:tcBorders>
                    <w:top w:val="double" w:sz="7" w:space="0" w:color="000000"/>
                    <w:left w:val="single" w:sz="7" w:space="0" w:color="000000"/>
                    <w:bottom w:val="single" w:sz="6" w:space="0" w:color="FFFFFF"/>
                    <w:right w:val="single" w:sz="6" w:space="0" w:color="FFFFFF"/>
                  </w:tcBorders>
                </w:tcPr>
                <w:p w:rsidR="00F038B0" w:rsidRPr="00C70B9B" w:rsidRDefault="00F038B0">
                  <w:pPr>
                    <w:spacing w:line="201" w:lineRule="exact"/>
                    <w:jc w:val="center"/>
                    <w:rPr>
                      <w:b/>
                      <w:bCs/>
                    </w:rPr>
                  </w:pPr>
                </w:p>
                <w:p w:rsidR="00F038B0" w:rsidRPr="00C70B9B" w:rsidRDefault="00F038B0">
                  <w:pPr>
                    <w:jc w:val="center"/>
                    <w:rPr>
                      <w:b/>
                      <w:bCs/>
                    </w:rPr>
                  </w:pPr>
                  <w:r w:rsidRPr="00C70B9B">
                    <w:rPr>
                      <w:b/>
                      <w:bCs/>
                    </w:rPr>
                    <w:t>FY Succeeding</w:t>
                  </w:r>
                </w:p>
                <w:p w:rsidR="00F038B0" w:rsidRPr="00C70B9B" w:rsidRDefault="00F038B0" w:rsidP="005D64FD">
                  <w:pPr>
                    <w:jc w:val="center"/>
                    <w:rPr>
                      <w:b/>
                      <w:bCs/>
                    </w:rPr>
                  </w:pPr>
                  <w:r w:rsidRPr="00C70B9B">
                    <w:rPr>
                      <w:b/>
                      <w:bCs/>
                    </w:rPr>
                    <w:t>Effective FY</w:t>
                  </w:r>
                  <w:r w:rsidR="008A5CCE">
                    <w:rPr>
                      <w:b/>
                      <w:bCs/>
                    </w:rPr>
                    <w:t>2</w:t>
                  </w:r>
                  <w:r w:rsidR="005D64FD">
                    <w:rPr>
                      <w:b/>
                      <w:bCs/>
                    </w:rPr>
                    <w:t>4</w:t>
                  </w:r>
                </w:p>
              </w:tc>
              <w:tc>
                <w:tcPr>
                  <w:tcW w:w="1942" w:type="dxa"/>
                  <w:tcBorders>
                    <w:top w:val="double" w:sz="7" w:space="0" w:color="000000"/>
                    <w:left w:val="single" w:sz="7" w:space="0" w:color="000000"/>
                    <w:bottom w:val="single" w:sz="6" w:space="0" w:color="FFFFFF"/>
                    <w:right w:val="double" w:sz="7" w:space="0" w:color="000000"/>
                  </w:tcBorders>
                </w:tcPr>
                <w:p w:rsidR="00F038B0" w:rsidRPr="00C70B9B" w:rsidRDefault="00F038B0">
                  <w:pPr>
                    <w:spacing w:line="201" w:lineRule="exact"/>
                    <w:jc w:val="center"/>
                    <w:rPr>
                      <w:b/>
                      <w:bCs/>
                    </w:rPr>
                  </w:pPr>
                </w:p>
                <w:p w:rsidR="00F038B0" w:rsidRPr="00C70B9B" w:rsidRDefault="00F038B0">
                  <w:pPr>
                    <w:jc w:val="center"/>
                    <w:rPr>
                      <w:b/>
                      <w:bCs/>
                    </w:rPr>
                  </w:pPr>
                  <w:r w:rsidRPr="00C70B9B">
                    <w:rPr>
                      <w:b/>
                      <w:bCs/>
                    </w:rPr>
                    <w:t>Full Fiscal</w:t>
                  </w:r>
                </w:p>
                <w:p w:rsidR="00F038B0" w:rsidRPr="00C70B9B" w:rsidRDefault="00F038B0" w:rsidP="005D64FD">
                  <w:pPr>
                    <w:jc w:val="center"/>
                    <w:rPr>
                      <w:b/>
                      <w:bCs/>
                    </w:rPr>
                  </w:pPr>
                  <w:r w:rsidRPr="00C70B9B">
                    <w:rPr>
                      <w:b/>
                      <w:bCs/>
                    </w:rPr>
                    <w:t>Impact FY</w:t>
                  </w:r>
                  <w:r w:rsidR="008A5CCE">
                    <w:rPr>
                      <w:b/>
                      <w:bCs/>
                    </w:rPr>
                    <w:t>2</w:t>
                  </w:r>
                  <w:r w:rsidR="005D64FD">
                    <w:rPr>
                      <w:b/>
                      <w:bCs/>
                    </w:rPr>
                    <w:t>4</w:t>
                  </w:r>
                </w:p>
              </w:tc>
            </w:tr>
            <w:tr w:rsidR="00F038B0" w:rsidRPr="00C70B9B" w:rsidTr="003C5BFC">
              <w:trPr>
                <w:trHeight w:val="358"/>
                <w:jc w:val="center"/>
              </w:trPr>
              <w:tc>
                <w:tcPr>
                  <w:tcW w:w="2068" w:type="dxa"/>
                  <w:tcBorders>
                    <w:top w:val="single" w:sz="7" w:space="0" w:color="000000"/>
                    <w:left w:val="double" w:sz="7" w:space="0" w:color="000000"/>
                    <w:bottom w:val="single" w:sz="6" w:space="0" w:color="FFFFFF"/>
                    <w:right w:val="single" w:sz="6" w:space="0" w:color="FFFFFF"/>
                  </w:tcBorders>
                </w:tcPr>
                <w:p w:rsidR="00F038B0" w:rsidRPr="00C70B9B" w:rsidRDefault="00F038B0">
                  <w:pPr>
                    <w:spacing w:line="163" w:lineRule="exact"/>
                    <w:jc w:val="center"/>
                    <w:rPr>
                      <w:b/>
                      <w:bCs/>
                    </w:rPr>
                  </w:pPr>
                </w:p>
                <w:p w:rsidR="00F038B0" w:rsidRPr="00C70B9B" w:rsidRDefault="00F038B0">
                  <w:pPr>
                    <w:jc w:val="center"/>
                    <w:rPr>
                      <w:b/>
                      <w:bCs/>
                      <w:lang w:val="fr-FR"/>
                    </w:rPr>
                  </w:pPr>
                  <w:r w:rsidRPr="00C70B9B">
                    <w:rPr>
                      <w:b/>
                      <w:bCs/>
                      <w:lang w:val="fr-FR"/>
                    </w:rPr>
                    <w:t>Revenues (+)</w:t>
                  </w:r>
                </w:p>
              </w:tc>
              <w:tc>
                <w:tcPr>
                  <w:tcW w:w="1747" w:type="dxa"/>
                  <w:tcBorders>
                    <w:top w:val="single" w:sz="7" w:space="0" w:color="000000"/>
                    <w:left w:val="single" w:sz="7" w:space="0" w:color="000000"/>
                    <w:bottom w:val="single" w:sz="6" w:space="0" w:color="FFFFFF"/>
                    <w:right w:val="single" w:sz="6" w:space="0" w:color="FFFFFF"/>
                  </w:tcBorders>
                </w:tcPr>
                <w:p w:rsidR="00F038B0" w:rsidRPr="00C70B9B" w:rsidRDefault="00F038B0">
                  <w:pPr>
                    <w:spacing w:line="163" w:lineRule="exact"/>
                    <w:jc w:val="center"/>
                    <w:rPr>
                      <w:b/>
                      <w:bCs/>
                      <w:lang w:val="fr-FR"/>
                    </w:rPr>
                  </w:pPr>
                </w:p>
                <w:p w:rsidR="00F038B0" w:rsidRPr="00C70B9B" w:rsidRDefault="00F038B0" w:rsidP="00F038B0">
                  <w:pPr>
                    <w:jc w:val="center"/>
                    <w:rPr>
                      <w:b/>
                      <w:bCs/>
                      <w:lang w:val="fr-FR"/>
                    </w:rPr>
                  </w:pPr>
                  <w:r w:rsidRPr="00C70B9B">
                    <w:rPr>
                      <w:b/>
                      <w:bCs/>
                      <w:lang w:val="fr-FR"/>
                    </w:rPr>
                    <w:t>$0</w:t>
                  </w:r>
                </w:p>
              </w:tc>
              <w:tc>
                <w:tcPr>
                  <w:tcW w:w="1942" w:type="dxa"/>
                  <w:tcBorders>
                    <w:top w:val="single" w:sz="7" w:space="0" w:color="000000"/>
                    <w:left w:val="single" w:sz="7" w:space="0" w:color="000000"/>
                    <w:bottom w:val="single" w:sz="6" w:space="0" w:color="FFFFFF"/>
                    <w:right w:val="single" w:sz="6" w:space="0" w:color="FFFFFF"/>
                  </w:tcBorders>
                </w:tcPr>
                <w:p w:rsidR="00F038B0" w:rsidRPr="00C70B9B" w:rsidRDefault="00F038B0">
                  <w:pPr>
                    <w:spacing w:line="163" w:lineRule="exact"/>
                    <w:jc w:val="center"/>
                    <w:rPr>
                      <w:b/>
                      <w:bCs/>
                      <w:lang w:val="fr-FR"/>
                    </w:rPr>
                  </w:pPr>
                </w:p>
                <w:p w:rsidR="00F038B0" w:rsidRPr="00C70B9B" w:rsidRDefault="00F038B0" w:rsidP="00F038B0">
                  <w:pPr>
                    <w:jc w:val="center"/>
                    <w:rPr>
                      <w:b/>
                      <w:bCs/>
                      <w:lang w:val="fr-FR"/>
                    </w:rPr>
                  </w:pPr>
                  <w:r w:rsidRPr="00C70B9B">
                    <w:rPr>
                      <w:b/>
                      <w:bCs/>
                    </w:rPr>
                    <w:t>$0</w:t>
                  </w:r>
                </w:p>
              </w:tc>
              <w:tc>
                <w:tcPr>
                  <w:tcW w:w="1942" w:type="dxa"/>
                  <w:tcBorders>
                    <w:top w:val="single" w:sz="7" w:space="0" w:color="000000"/>
                    <w:left w:val="single" w:sz="7" w:space="0" w:color="000000"/>
                    <w:bottom w:val="single" w:sz="6" w:space="0" w:color="FFFFFF"/>
                    <w:right w:val="double" w:sz="7" w:space="0" w:color="000000"/>
                  </w:tcBorders>
                </w:tcPr>
                <w:p w:rsidR="00F038B0" w:rsidRPr="00C70B9B" w:rsidRDefault="00F038B0">
                  <w:pPr>
                    <w:spacing w:line="163" w:lineRule="exact"/>
                    <w:jc w:val="center"/>
                    <w:rPr>
                      <w:b/>
                      <w:bCs/>
                      <w:lang w:val="fr-FR"/>
                    </w:rPr>
                  </w:pPr>
                </w:p>
                <w:p w:rsidR="00F038B0" w:rsidRPr="00C70B9B" w:rsidRDefault="00F038B0" w:rsidP="00F038B0">
                  <w:pPr>
                    <w:jc w:val="center"/>
                    <w:rPr>
                      <w:b/>
                      <w:bCs/>
                    </w:rPr>
                  </w:pPr>
                  <w:r w:rsidRPr="00C70B9B">
                    <w:rPr>
                      <w:b/>
                      <w:bCs/>
                    </w:rPr>
                    <w:t>$0</w:t>
                  </w:r>
                </w:p>
              </w:tc>
            </w:tr>
            <w:tr w:rsidR="00F038B0" w:rsidRPr="00C70B9B" w:rsidTr="003C5BFC">
              <w:trPr>
                <w:trHeight w:val="358"/>
                <w:jc w:val="center"/>
              </w:trPr>
              <w:tc>
                <w:tcPr>
                  <w:tcW w:w="2068" w:type="dxa"/>
                  <w:tcBorders>
                    <w:top w:val="single" w:sz="7" w:space="0" w:color="000000"/>
                    <w:left w:val="double" w:sz="7" w:space="0" w:color="000000"/>
                    <w:bottom w:val="single" w:sz="6" w:space="0" w:color="FFFFFF"/>
                    <w:right w:val="single" w:sz="6" w:space="0" w:color="FFFFFF"/>
                  </w:tcBorders>
                </w:tcPr>
                <w:p w:rsidR="00F038B0" w:rsidRPr="00C70B9B" w:rsidRDefault="00F038B0">
                  <w:pPr>
                    <w:spacing w:line="163" w:lineRule="exact"/>
                    <w:jc w:val="center"/>
                    <w:rPr>
                      <w:b/>
                      <w:bCs/>
                      <w:lang w:val="fr-FR"/>
                    </w:rPr>
                  </w:pPr>
                </w:p>
                <w:p w:rsidR="00F038B0" w:rsidRPr="00C70B9B" w:rsidRDefault="00F038B0">
                  <w:pPr>
                    <w:jc w:val="center"/>
                    <w:rPr>
                      <w:b/>
                      <w:bCs/>
                      <w:lang w:val="fr-FR"/>
                    </w:rPr>
                  </w:pPr>
                  <w:r w:rsidRPr="00C70B9B">
                    <w:rPr>
                      <w:b/>
                      <w:bCs/>
                      <w:lang w:val="fr-FR"/>
                    </w:rPr>
                    <w:t>Expenditures (-)</w:t>
                  </w:r>
                </w:p>
              </w:tc>
              <w:tc>
                <w:tcPr>
                  <w:tcW w:w="1747" w:type="dxa"/>
                  <w:tcBorders>
                    <w:top w:val="single" w:sz="7" w:space="0" w:color="000000"/>
                    <w:left w:val="single" w:sz="7" w:space="0" w:color="000000"/>
                    <w:bottom w:val="single" w:sz="6" w:space="0" w:color="FFFFFF"/>
                    <w:right w:val="single" w:sz="6" w:space="0" w:color="FFFFFF"/>
                  </w:tcBorders>
                </w:tcPr>
                <w:p w:rsidR="00F038B0" w:rsidRPr="00C70B9B" w:rsidRDefault="00F038B0" w:rsidP="00F038B0">
                  <w:pPr>
                    <w:spacing w:line="163" w:lineRule="exact"/>
                    <w:jc w:val="center"/>
                    <w:rPr>
                      <w:b/>
                      <w:bCs/>
                      <w:lang w:val="fr-FR"/>
                    </w:rPr>
                  </w:pPr>
                </w:p>
                <w:p w:rsidR="00F038B0" w:rsidRPr="00C70B9B" w:rsidRDefault="00F038B0" w:rsidP="00F038B0">
                  <w:pPr>
                    <w:jc w:val="center"/>
                    <w:rPr>
                      <w:b/>
                      <w:bCs/>
                      <w:lang w:val="fr-FR"/>
                    </w:rPr>
                  </w:pPr>
                  <w:r w:rsidRPr="00C70B9B">
                    <w:rPr>
                      <w:b/>
                      <w:bCs/>
                      <w:lang w:val="fr-FR"/>
                    </w:rPr>
                    <w:t>$0</w:t>
                  </w:r>
                </w:p>
              </w:tc>
              <w:tc>
                <w:tcPr>
                  <w:tcW w:w="1942" w:type="dxa"/>
                  <w:tcBorders>
                    <w:top w:val="single" w:sz="7" w:space="0" w:color="000000"/>
                    <w:left w:val="single" w:sz="7" w:space="0" w:color="000000"/>
                    <w:bottom w:val="single" w:sz="6" w:space="0" w:color="FFFFFF"/>
                    <w:right w:val="single" w:sz="6" w:space="0" w:color="FFFFFF"/>
                  </w:tcBorders>
                </w:tcPr>
                <w:p w:rsidR="00F038B0" w:rsidRPr="00C70B9B" w:rsidRDefault="00F038B0" w:rsidP="00F038B0">
                  <w:pPr>
                    <w:spacing w:line="163" w:lineRule="exact"/>
                    <w:jc w:val="center"/>
                    <w:rPr>
                      <w:b/>
                      <w:bCs/>
                      <w:lang w:val="fr-FR"/>
                    </w:rPr>
                  </w:pPr>
                </w:p>
                <w:p w:rsidR="00F038B0" w:rsidRPr="00C70B9B" w:rsidRDefault="00F038B0" w:rsidP="00F038B0">
                  <w:pPr>
                    <w:jc w:val="center"/>
                    <w:rPr>
                      <w:b/>
                      <w:bCs/>
                      <w:lang w:val="fr-FR"/>
                    </w:rPr>
                  </w:pPr>
                  <w:r w:rsidRPr="00C70B9B">
                    <w:rPr>
                      <w:b/>
                      <w:bCs/>
                    </w:rPr>
                    <w:t>$0</w:t>
                  </w:r>
                </w:p>
              </w:tc>
              <w:tc>
                <w:tcPr>
                  <w:tcW w:w="1942" w:type="dxa"/>
                  <w:tcBorders>
                    <w:top w:val="single" w:sz="7" w:space="0" w:color="000000"/>
                    <w:left w:val="single" w:sz="7" w:space="0" w:color="000000"/>
                    <w:bottom w:val="single" w:sz="6" w:space="0" w:color="FFFFFF"/>
                    <w:right w:val="double" w:sz="7" w:space="0" w:color="000000"/>
                  </w:tcBorders>
                </w:tcPr>
                <w:p w:rsidR="00F038B0" w:rsidRPr="00C70B9B" w:rsidRDefault="00F038B0" w:rsidP="00F038B0">
                  <w:pPr>
                    <w:spacing w:line="163" w:lineRule="exact"/>
                    <w:jc w:val="center"/>
                    <w:rPr>
                      <w:b/>
                      <w:bCs/>
                      <w:lang w:val="fr-FR"/>
                    </w:rPr>
                  </w:pPr>
                </w:p>
                <w:p w:rsidR="00F038B0" w:rsidRPr="00C70B9B" w:rsidRDefault="00F038B0" w:rsidP="00F038B0">
                  <w:pPr>
                    <w:jc w:val="center"/>
                    <w:rPr>
                      <w:bCs/>
                    </w:rPr>
                  </w:pPr>
                  <w:r w:rsidRPr="00C70B9B">
                    <w:rPr>
                      <w:b/>
                      <w:bCs/>
                    </w:rPr>
                    <w:t>$0</w:t>
                  </w:r>
                </w:p>
              </w:tc>
            </w:tr>
            <w:tr w:rsidR="00F038B0" w:rsidRPr="00C70B9B" w:rsidTr="003C5BFC">
              <w:trPr>
                <w:trHeight w:val="427"/>
                <w:jc w:val="center"/>
              </w:trPr>
              <w:tc>
                <w:tcPr>
                  <w:tcW w:w="2068" w:type="dxa"/>
                  <w:tcBorders>
                    <w:top w:val="single" w:sz="7" w:space="0" w:color="000000"/>
                    <w:left w:val="double" w:sz="7" w:space="0" w:color="000000"/>
                    <w:bottom w:val="single" w:sz="7" w:space="0" w:color="000000"/>
                    <w:right w:val="single" w:sz="6" w:space="0" w:color="FFFFFF"/>
                  </w:tcBorders>
                </w:tcPr>
                <w:p w:rsidR="00F038B0" w:rsidRPr="00C70B9B" w:rsidRDefault="00F038B0">
                  <w:pPr>
                    <w:spacing w:line="163" w:lineRule="exact"/>
                    <w:jc w:val="center"/>
                    <w:rPr>
                      <w:b/>
                      <w:bCs/>
                      <w:lang w:val="fr-FR"/>
                    </w:rPr>
                  </w:pPr>
                </w:p>
                <w:p w:rsidR="00F038B0" w:rsidRPr="00C70B9B" w:rsidRDefault="00F038B0">
                  <w:pPr>
                    <w:spacing w:after="58"/>
                    <w:jc w:val="center"/>
                    <w:rPr>
                      <w:b/>
                      <w:bCs/>
                      <w:lang w:val="fr-FR"/>
                    </w:rPr>
                  </w:pPr>
                  <w:r w:rsidRPr="00C70B9B">
                    <w:rPr>
                      <w:b/>
                      <w:bCs/>
                      <w:lang w:val="fr-FR"/>
                    </w:rPr>
                    <w:t>Net</w:t>
                  </w:r>
                </w:p>
              </w:tc>
              <w:tc>
                <w:tcPr>
                  <w:tcW w:w="1747" w:type="dxa"/>
                  <w:tcBorders>
                    <w:top w:val="single" w:sz="7" w:space="0" w:color="000000"/>
                    <w:left w:val="single" w:sz="7" w:space="0" w:color="000000"/>
                    <w:bottom w:val="single" w:sz="7" w:space="0" w:color="000000"/>
                    <w:right w:val="single" w:sz="6" w:space="0" w:color="FFFFFF"/>
                  </w:tcBorders>
                </w:tcPr>
                <w:p w:rsidR="00F038B0" w:rsidRPr="00C70B9B" w:rsidRDefault="00F038B0" w:rsidP="00F038B0">
                  <w:pPr>
                    <w:spacing w:line="163" w:lineRule="exact"/>
                    <w:jc w:val="center"/>
                    <w:rPr>
                      <w:b/>
                      <w:bCs/>
                      <w:lang w:val="fr-FR"/>
                    </w:rPr>
                  </w:pPr>
                </w:p>
                <w:p w:rsidR="00F038B0" w:rsidRPr="00C70B9B" w:rsidRDefault="00F038B0" w:rsidP="00F038B0">
                  <w:pPr>
                    <w:jc w:val="center"/>
                    <w:rPr>
                      <w:b/>
                      <w:bCs/>
                      <w:lang w:val="fr-FR"/>
                    </w:rPr>
                  </w:pPr>
                  <w:r w:rsidRPr="00C70B9B">
                    <w:rPr>
                      <w:b/>
                      <w:bCs/>
                      <w:lang w:val="fr-FR"/>
                    </w:rPr>
                    <w:t>$0</w:t>
                  </w:r>
                </w:p>
              </w:tc>
              <w:tc>
                <w:tcPr>
                  <w:tcW w:w="1942" w:type="dxa"/>
                  <w:tcBorders>
                    <w:top w:val="single" w:sz="7" w:space="0" w:color="000000"/>
                    <w:left w:val="single" w:sz="7" w:space="0" w:color="000000"/>
                    <w:bottom w:val="single" w:sz="7" w:space="0" w:color="000000"/>
                    <w:right w:val="single" w:sz="6" w:space="0" w:color="FFFFFF"/>
                  </w:tcBorders>
                </w:tcPr>
                <w:p w:rsidR="00F038B0" w:rsidRPr="00C70B9B" w:rsidRDefault="00F038B0" w:rsidP="00F038B0">
                  <w:pPr>
                    <w:spacing w:line="163" w:lineRule="exact"/>
                    <w:jc w:val="center"/>
                    <w:rPr>
                      <w:b/>
                      <w:bCs/>
                      <w:lang w:val="fr-FR"/>
                    </w:rPr>
                  </w:pPr>
                </w:p>
                <w:p w:rsidR="00F038B0" w:rsidRPr="00C70B9B" w:rsidRDefault="00F038B0" w:rsidP="00F038B0">
                  <w:pPr>
                    <w:jc w:val="center"/>
                    <w:rPr>
                      <w:b/>
                      <w:bCs/>
                      <w:lang w:val="fr-FR"/>
                    </w:rPr>
                  </w:pPr>
                  <w:r w:rsidRPr="00C70B9B">
                    <w:rPr>
                      <w:b/>
                      <w:bCs/>
                      <w:lang w:val="fr-FR"/>
                    </w:rPr>
                    <w:t>$0</w:t>
                  </w:r>
                </w:p>
              </w:tc>
              <w:tc>
                <w:tcPr>
                  <w:tcW w:w="1942" w:type="dxa"/>
                  <w:tcBorders>
                    <w:top w:val="single" w:sz="7" w:space="0" w:color="000000"/>
                    <w:left w:val="single" w:sz="7" w:space="0" w:color="000000"/>
                    <w:bottom w:val="single" w:sz="7" w:space="0" w:color="000000"/>
                    <w:right w:val="double" w:sz="7" w:space="0" w:color="000000"/>
                  </w:tcBorders>
                </w:tcPr>
                <w:p w:rsidR="00F038B0" w:rsidRPr="00C70B9B" w:rsidRDefault="00F038B0" w:rsidP="00F038B0">
                  <w:pPr>
                    <w:spacing w:line="163" w:lineRule="exact"/>
                    <w:jc w:val="center"/>
                    <w:rPr>
                      <w:b/>
                      <w:bCs/>
                      <w:lang w:val="fr-FR"/>
                    </w:rPr>
                  </w:pPr>
                </w:p>
                <w:p w:rsidR="00F038B0" w:rsidRPr="00C70B9B" w:rsidRDefault="00F038B0" w:rsidP="00F038B0">
                  <w:pPr>
                    <w:jc w:val="center"/>
                    <w:rPr>
                      <w:b/>
                      <w:bCs/>
                      <w:lang w:val="fr-FR"/>
                    </w:rPr>
                  </w:pPr>
                  <w:r w:rsidRPr="00C70B9B">
                    <w:rPr>
                      <w:b/>
                      <w:bCs/>
                      <w:lang w:val="fr-FR"/>
                    </w:rPr>
                    <w:t xml:space="preserve">$0  </w:t>
                  </w:r>
                </w:p>
              </w:tc>
            </w:tr>
          </w:tbl>
          <w:p w:rsidR="00F038B0" w:rsidRPr="00C70B9B" w:rsidRDefault="00F038B0">
            <w:pPr>
              <w:rPr>
                <w:lang w:val="fr-FR"/>
              </w:rPr>
            </w:pPr>
          </w:p>
        </w:tc>
      </w:tr>
      <w:tr w:rsidR="00F038B0" w:rsidRPr="00C70B9B">
        <w:trPr>
          <w:trHeight w:val="474"/>
          <w:jc w:val="center"/>
        </w:trPr>
        <w:tc>
          <w:tcPr>
            <w:tcW w:w="11031" w:type="dxa"/>
            <w:gridSpan w:val="2"/>
          </w:tcPr>
          <w:p w:rsidR="00F038B0" w:rsidRPr="00986ABB" w:rsidRDefault="00F038B0" w:rsidP="00F038B0">
            <w:pPr>
              <w:rPr>
                <w:b/>
                <w:bCs/>
                <w:smallCaps/>
              </w:rPr>
            </w:pPr>
          </w:p>
          <w:p w:rsidR="00F038B0" w:rsidRPr="00986ABB" w:rsidRDefault="00F038B0" w:rsidP="00986ABB">
            <w:r w:rsidRPr="00986ABB">
              <w:rPr>
                <w:b/>
                <w:bCs/>
                <w:smallCaps/>
              </w:rPr>
              <w:t>Impact on Revenues</w:t>
            </w:r>
            <w:r w:rsidRPr="00986ABB">
              <w:rPr>
                <w:b/>
                <w:bCs/>
              </w:rPr>
              <w:t>:</w:t>
            </w:r>
            <w:r w:rsidRPr="00986ABB">
              <w:t xml:space="preserve">  It is anticipated that there would be no impact on revenues as a result of this legislation</w:t>
            </w:r>
            <w:r w:rsidR="00986ABB" w:rsidRPr="00986ABB">
              <w:t>.</w:t>
            </w:r>
          </w:p>
        </w:tc>
      </w:tr>
      <w:tr w:rsidR="00F038B0" w:rsidRPr="00C70B9B">
        <w:trPr>
          <w:trHeight w:val="919"/>
          <w:jc w:val="center"/>
        </w:trPr>
        <w:tc>
          <w:tcPr>
            <w:tcW w:w="11031" w:type="dxa"/>
            <w:gridSpan w:val="2"/>
          </w:tcPr>
          <w:p w:rsidR="00F038B0" w:rsidRPr="00C70B9B" w:rsidRDefault="00F038B0" w:rsidP="00F038B0">
            <w:pPr>
              <w:spacing w:before="240"/>
            </w:pPr>
            <w:r w:rsidRPr="00C70B9B">
              <w:br w:type="page"/>
            </w:r>
            <w:r w:rsidRPr="00C70B9B">
              <w:rPr>
                <w:b/>
                <w:bCs/>
                <w:smallCaps/>
              </w:rPr>
              <w:t>Impact on Expenditures</w:t>
            </w:r>
            <w:r w:rsidRPr="00C70B9B">
              <w:rPr>
                <w:b/>
                <w:bCs/>
              </w:rPr>
              <w:t>:</w:t>
            </w:r>
            <w:r w:rsidRPr="00C70B9B">
              <w:t xml:space="preserve"> It is anticipated that there would be no impact on expenditures resulting from the enactment of this legislation. </w:t>
            </w:r>
          </w:p>
          <w:p w:rsidR="00F038B0" w:rsidRPr="00C70B9B" w:rsidRDefault="00F038B0" w:rsidP="00F038B0">
            <w:pPr>
              <w:jc w:val="both"/>
            </w:pPr>
          </w:p>
        </w:tc>
      </w:tr>
      <w:tr w:rsidR="00F038B0" w:rsidRPr="00C70B9B">
        <w:trPr>
          <w:trHeight w:val="474"/>
          <w:jc w:val="center"/>
        </w:trPr>
        <w:tc>
          <w:tcPr>
            <w:tcW w:w="11031" w:type="dxa"/>
            <w:gridSpan w:val="2"/>
          </w:tcPr>
          <w:p w:rsidR="00F038B0" w:rsidRPr="00C70B9B" w:rsidRDefault="00F038B0" w:rsidP="00F038B0">
            <w:r w:rsidRPr="00C70B9B">
              <w:rPr>
                <w:b/>
                <w:bCs/>
                <w:smallCaps/>
              </w:rPr>
              <w:t>Source of Funds To Cover Estimated Costs</w:t>
            </w:r>
            <w:r w:rsidRPr="00C70B9B">
              <w:rPr>
                <w:b/>
                <w:bCs/>
              </w:rPr>
              <w:t xml:space="preserve">: </w:t>
            </w:r>
            <w:r w:rsidRPr="00C70B9B">
              <w:rPr>
                <w:bCs/>
              </w:rPr>
              <w:t>N/A</w:t>
            </w:r>
          </w:p>
          <w:p w:rsidR="00F038B0" w:rsidRPr="00C70B9B" w:rsidRDefault="00F038B0" w:rsidP="00F038B0"/>
        </w:tc>
      </w:tr>
      <w:tr w:rsidR="00F038B0" w:rsidRPr="00C70B9B">
        <w:trPr>
          <w:trHeight w:val="474"/>
          <w:jc w:val="center"/>
        </w:trPr>
        <w:tc>
          <w:tcPr>
            <w:tcW w:w="11031" w:type="dxa"/>
            <w:gridSpan w:val="2"/>
          </w:tcPr>
          <w:p w:rsidR="00F038B0" w:rsidRPr="00C70B9B" w:rsidRDefault="00F038B0" w:rsidP="00F038B0">
            <w:r w:rsidRPr="00C70B9B">
              <w:rPr>
                <w:b/>
                <w:bCs/>
                <w:smallCaps/>
              </w:rPr>
              <w:t>Source of Information</w:t>
            </w:r>
            <w:r w:rsidRPr="00C70B9B">
              <w:rPr>
                <w:b/>
                <w:bCs/>
              </w:rPr>
              <w:t>:</w:t>
            </w:r>
            <w:r w:rsidRPr="00C70B9B">
              <w:tab/>
              <w:t xml:space="preserve">New York City Council Finance Division </w:t>
            </w:r>
          </w:p>
          <w:p w:rsidR="00F038B0" w:rsidRPr="00C70B9B" w:rsidRDefault="00F038B0" w:rsidP="00F038B0">
            <w:r w:rsidRPr="00C70B9B">
              <w:t xml:space="preserve">                                                                                           </w:t>
            </w:r>
            <w:r w:rsidRPr="00C70B9B">
              <w:tab/>
            </w:r>
          </w:p>
        </w:tc>
      </w:tr>
      <w:tr w:rsidR="00F038B0" w:rsidRPr="00C70B9B">
        <w:trPr>
          <w:trHeight w:val="1488"/>
          <w:jc w:val="center"/>
        </w:trPr>
        <w:tc>
          <w:tcPr>
            <w:tcW w:w="11031" w:type="dxa"/>
            <w:gridSpan w:val="2"/>
          </w:tcPr>
          <w:p w:rsidR="00F038B0" w:rsidRPr="00C70B9B" w:rsidRDefault="00F038B0" w:rsidP="00F038B0">
            <w:pPr>
              <w:jc w:val="both"/>
            </w:pPr>
            <w:r w:rsidRPr="00C70B9B">
              <w:rPr>
                <w:b/>
                <w:smallCaps/>
              </w:rPr>
              <w:lastRenderedPageBreak/>
              <w:t xml:space="preserve">Estimate Prepared By: </w:t>
            </w:r>
            <w:r w:rsidRPr="00C70B9B">
              <w:t xml:space="preserve"> </w:t>
            </w:r>
            <w:r w:rsidR="00D0588D">
              <w:t>Michael Sherman, Senior Financial Analyst</w:t>
            </w:r>
            <w:r w:rsidR="003C5BFC">
              <w:t xml:space="preserve"> </w:t>
            </w:r>
          </w:p>
          <w:p w:rsidR="00F038B0" w:rsidRPr="00C70B9B" w:rsidRDefault="00F038B0" w:rsidP="00F038B0">
            <w:pPr>
              <w:jc w:val="both"/>
            </w:pPr>
            <w:r w:rsidRPr="00C70B9B">
              <w:t xml:space="preserve"> </w:t>
            </w:r>
            <w:r w:rsidRPr="00C70B9B">
              <w:rPr>
                <w:b/>
                <w:smallCaps/>
              </w:rPr>
              <w:tab/>
            </w:r>
            <w:r w:rsidRPr="00C70B9B">
              <w:rPr>
                <w:b/>
                <w:smallCaps/>
              </w:rPr>
              <w:tab/>
            </w:r>
          </w:p>
          <w:p w:rsidR="00923A3E" w:rsidRDefault="00923A3E" w:rsidP="00D0588D">
            <w:pPr>
              <w:tabs>
                <w:tab w:val="left" w:pos="2880"/>
              </w:tabs>
              <w:spacing w:line="240" w:lineRule="exact"/>
              <w:ind w:left="3600" w:hanging="3600"/>
              <w:jc w:val="both"/>
            </w:pPr>
            <w:r w:rsidRPr="00923A3E">
              <w:rPr>
                <w:b/>
                <w:smallCaps/>
              </w:rPr>
              <w:t xml:space="preserve">Estimate Reviewed By: </w:t>
            </w:r>
            <w:r w:rsidRPr="00923A3E">
              <w:rPr>
                <w:b/>
                <w:smallCaps/>
              </w:rPr>
              <w:tab/>
            </w:r>
            <w:r w:rsidR="00D0588D">
              <w:t>Jack Storey, Unit Head</w:t>
            </w:r>
          </w:p>
          <w:p w:rsidR="005D64FD" w:rsidRPr="00923A3E" w:rsidRDefault="005D64FD" w:rsidP="00D0588D">
            <w:pPr>
              <w:tabs>
                <w:tab w:val="left" w:pos="2880"/>
              </w:tabs>
              <w:spacing w:line="240" w:lineRule="exact"/>
              <w:ind w:left="3600" w:hanging="3600"/>
              <w:jc w:val="both"/>
            </w:pPr>
            <w:r>
              <w:rPr>
                <w:b/>
                <w:smallCaps/>
              </w:rPr>
              <w:t xml:space="preserve">                                                             </w:t>
            </w:r>
            <w:r w:rsidRPr="00CD1CEF">
              <w:t>C</w:t>
            </w:r>
            <w:r>
              <w:t>hima Obichere, Deputy Dir</w:t>
            </w:r>
            <w:r w:rsidR="009A3615">
              <w:t>e</w:t>
            </w:r>
            <w:r>
              <w:t>ctor</w:t>
            </w:r>
          </w:p>
          <w:p w:rsidR="00F038B0" w:rsidRPr="00C70B9B" w:rsidRDefault="00F038B0" w:rsidP="00923A3E">
            <w:pPr>
              <w:ind w:left="3600" w:hanging="1440"/>
              <w:jc w:val="both"/>
            </w:pPr>
          </w:p>
        </w:tc>
      </w:tr>
      <w:tr w:rsidR="00F038B0" w:rsidRPr="00C70B9B">
        <w:trPr>
          <w:trHeight w:val="809"/>
          <w:jc w:val="center"/>
        </w:trPr>
        <w:tc>
          <w:tcPr>
            <w:tcW w:w="11031" w:type="dxa"/>
            <w:gridSpan w:val="2"/>
          </w:tcPr>
          <w:p w:rsidR="00F038B0" w:rsidRPr="00530AB4" w:rsidRDefault="00F038B0" w:rsidP="003B5641">
            <w:pPr>
              <w:spacing w:before="120"/>
              <w:jc w:val="both"/>
              <w:rPr>
                <w:b/>
                <w:bCs/>
                <w:smallCaps/>
                <w:color w:val="C00000"/>
              </w:rPr>
            </w:pPr>
            <w:r w:rsidRPr="008951A8">
              <w:rPr>
                <w:b/>
                <w:bCs/>
                <w:smallCaps/>
              </w:rPr>
              <w:t>Legislative History</w:t>
            </w:r>
            <w:r w:rsidRPr="008951A8">
              <w:rPr>
                <w:b/>
                <w:bCs/>
              </w:rPr>
              <w:t xml:space="preserve">: </w:t>
            </w:r>
            <w:r w:rsidRPr="008951A8">
              <w:t xml:space="preserve">This bill will be considered by the Committee on </w:t>
            </w:r>
            <w:r w:rsidR="00CC3102">
              <w:t xml:space="preserve">State and Federal Legislation </w:t>
            </w:r>
            <w:r w:rsidR="00D94734" w:rsidRPr="008951A8">
              <w:t xml:space="preserve">as a Preconsidered SLR on </w:t>
            </w:r>
            <w:r w:rsidR="003B5641">
              <w:t>May 25, 2023</w:t>
            </w:r>
            <w:r w:rsidRPr="008951A8">
              <w:t xml:space="preserve">. Following a successful vote by the Committee, the Preconsidered SLR will be introduced and voted on by the full Council on </w:t>
            </w:r>
            <w:r w:rsidR="003B5641">
              <w:t>May 25, 2023</w:t>
            </w:r>
            <w:r w:rsidRPr="008951A8">
              <w:t>.</w:t>
            </w:r>
          </w:p>
        </w:tc>
      </w:tr>
      <w:tr w:rsidR="00F038B0" w:rsidRPr="00C70B9B">
        <w:trPr>
          <w:trHeight w:val="738"/>
          <w:jc w:val="center"/>
        </w:trPr>
        <w:tc>
          <w:tcPr>
            <w:tcW w:w="11031" w:type="dxa"/>
            <w:gridSpan w:val="2"/>
          </w:tcPr>
          <w:p w:rsidR="00F038B0" w:rsidRPr="00C70B9B" w:rsidRDefault="00F038B0" w:rsidP="00F038B0">
            <w:pPr>
              <w:rPr>
                <w:b/>
                <w:smallCaps/>
              </w:rPr>
            </w:pPr>
          </w:p>
          <w:p w:rsidR="00F038B0" w:rsidRPr="00C70B9B" w:rsidRDefault="00F038B0" w:rsidP="00F038B0">
            <w:r w:rsidRPr="00C70B9B">
              <w:rPr>
                <w:b/>
                <w:smallCaps/>
              </w:rPr>
              <w:t>Date Prepared</w:t>
            </w:r>
            <w:r w:rsidRPr="00C70B9B">
              <w:rPr>
                <w:b/>
              </w:rPr>
              <w:t>:</w:t>
            </w:r>
            <w:r w:rsidRPr="00C70B9B">
              <w:t xml:space="preserve"> </w:t>
            </w:r>
            <w:r w:rsidRPr="00C70B9B">
              <w:rPr>
                <w:b/>
              </w:rPr>
              <w:t xml:space="preserve"> </w:t>
            </w:r>
            <w:r w:rsidR="003B5641">
              <w:t>May 24, 2023</w:t>
            </w:r>
          </w:p>
          <w:p w:rsidR="00F038B0" w:rsidRPr="00C70B9B" w:rsidRDefault="00F038B0" w:rsidP="00F038B0"/>
        </w:tc>
      </w:tr>
    </w:tbl>
    <w:p w:rsidR="00F038B0" w:rsidRPr="00C70B9B" w:rsidRDefault="00F038B0" w:rsidP="00F038B0">
      <w:pPr>
        <w:pStyle w:val="HTMLPreformatted"/>
        <w:rPr>
          <w:sz w:val="24"/>
          <w:szCs w:val="24"/>
        </w:rPr>
      </w:pPr>
    </w:p>
    <w:sectPr w:rsidR="00F038B0" w:rsidRPr="00C70B9B">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440D" w:rsidRDefault="0000440D" w:rsidP="00F038B0">
      <w:r>
        <w:separator/>
      </w:r>
    </w:p>
  </w:endnote>
  <w:endnote w:type="continuationSeparator" w:id="0">
    <w:p w:rsidR="0000440D" w:rsidRDefault="0000440D" w:rsidP="00F038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38B0" w:rsidRDefault="00C70B9B" w:rsidP="00C70B9B">
    <w:pPr>
      <w:pStyle w:val="Footer"/>
      <w:pBdr>
        <w:top w:val="thinThickSmallGap" w:sz="24" w:space="1" w:color="622423" w:themeColor="accent2" w:themeShade="7F"/>
      </w:pBdr>
    </w:pPr>
    <w:r>
      <w:rPr>
        <w:rFonts w:asciiTheme="majorHAnsi" w:eastAsiaTheme="majorEastAsia" w:hAnsiTheme="majorHAnsi" w:cstheme="majorBidi"/>
        <w:lang w:val="en-US"/>
      </w:rPr>
      <w:t>S</w:t>
    </w:r>
    <w:r w:rsidR="008E5EB0">
      <w:rPr>
        <w:rFonts w:asciiTheme="majorHAnsi" w:eastAsiaTheme="majorEastAsia" w:hAnsiTheme="majorHAnsi" w:cstheme="majorBidi"/>
        <w:lang w:val="en-US"/>
      </w:rPr>
      <w:t xml:space="preserve">LR </w:t>
    </w:r>
    <w:r w:rsidR="00D0588D">
      <w:rPr>
        <w:lang w:val="en-US"/>
      </w:rPr>
      <w:t>S</w:t>
    </w:r>
    <w:r w:rsidR="00DB698B">
      <w:rPr>
        <w:lang w:val="en-US"/>
      </w:rPr>
      <w:t>.</w:t>
    </w:r>
    <w:r w:rsidR="003B5641">
      <w:rPr>
        <w:lang w:val="en-US"/>
      </w:rPr>
      <w:t>6246</w:t>
    </w:r>
    <w:r w:rsidR="008E5EB0" w:rsidRPr="008E5EB0">
      <w:t>/</w:t>
    </w:r>
    <w:r w:rsidR="00D0588D">
      <w:rPr>
        <w:lang w:val="en-US"/>
      </w:rPr>
      <w:t>A</w:t>
    </w:r>
    <w:r w:rsidR="00DB698B">
      <w:rPr>
        <w:lang w:val="en-US"/>
      </w:rPr>
      <w:t>.</w:t>
    </w:r>
    <w:r w:rsidR="003B5641">
      <w:rPr>
        <w:lang w:val="en-US"/>
      </w:rPr>
      <w:t>6225</w:t>
    </w:r>
    <w:r w:rsidRPr="008E5EB0">
      <w:rPr>
        <w:rFonts w:asciiTheme="majorHAnsi" w:eastAsiaTheme="majorEastAsia" w:hAnsiTheme="majorHAnsi" w:cstheme="majorBidi"/>
      </w:rPr>
      <w:ptab w:relativeTo="margin" w:alignment="right" w:leader="none"/>
    </w:r>
    <w:r w:rsidRPr="008E5EB0">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DD527B" w:rsidRPr="00DD527B">
      <w:rPr>
        <w:rFonts w:asciiTheme="majorHAnsi" w:eastAsiaTheme="majorEastAsia" w:hAnsiTheme="majorHAnsi" w:cstheme="majorBidi"/>
        <w:noProof/>
      </w:rPr>
      <w:t>2</w:t>
    </w:r>
    <w:r>
      <w:rPr>
        <w:rFonts w:asciiTheme="majorHAnsi" w:eastAsiaTheme="majorEastAsia" w:hAnsiTheme="majorHAnsi" w:cstheme="majorBidi"/>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440D" w:rsidRDefault="0000440D" w:rsidP="00F038B0">
      <w:r>
        <w:separator/>
      </w:r>
    </w:p>
  </w:footnote>
  <w:footnote w:type="continuationSeparator" w:id="0">
    <w:p w:rsidR="0000440D" w:rsidRDefault="0000440D" w:rsidP="00F038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0E017B"/>
    <w:multiLevelType w:val="hybridMultilevel"/>
    <w:tmpl w:val="1C6A546E"/>
    <w:lvl w:ilvl="0" w:tplc="906E3010">
      <w:start w:val="2003"/>
      <w:numFmt w:val="decimal"/>
      <w:lvlText w:val="%1"/>
      <w:lvlJc w:val="left"/>
      <w:pPr>
        <w:tabs>
          <w:tab w:val="num" w:pos="3465"/>
        </w:tabs>
        <w:ind w:left="3465" w:hanging="540"/>
      </w:pPr>
      <w:rPr>
        <w:rFonts w:hint="default"/>
      </w:rPr>
    </w:lvl>
    <w:lvl w:ilvl="1" w:tplc="04090019" w:tentative="1">
      <w:start w:val="1"/>
      <w:numFmt w:val="lowerLetter"/>
      <w:lvlText w:val="%2."/>
      <w:lvlJc w:val="left"/>
      <w:pPr>
        <w:tabs>
          <w:tab w:val="num" w:pos="4005"/>
        </w:tabs>
        <w:ind w:left="4005" w:hanging="360"/>
      </w:pPr>
    </w:lvl>
    <w:lvl w:ilvl="2" w:tplc="0409001B" w:tentative="1">
      <w:start w:val="1"/>
      <w:numFmt w:val="lowerRoman"/>
      <w:lvlText w:val="%3."/>
      <w:lvlJc w:val="right"/>
      <w:pPr>
        <w:tabs>
          <w:tab w:val="num" w:pos="4725"/>
        </w:tabs>
        <w:ind w:left="4725" w:hanging="180"/>
      </w:pPr>
    </w:lvl>
    <w:lvl w:ilvl="3" w:tplc="0409000F" w:tentative="1">
      <w:start w:val="1"/>
      <w:numFmt w:val="decimal"/>
      <w:lvlText w:val="%4."/>
      <w:lvlJc w:val="left"/>
      <w:pPr>
        <w:tabs>
          <w:tab w:val="num" w:pos="5445"/>
        </w:tabs>
        <w:ind w:left="5445" w:hanging="360"/>
      </w:pPr>
    </w:lvl>
    <w:lvl w:ilvl="4" w:tplc="04090019" w:tentative="1">
      <w:start w:val="1"/>
      <w:numFmt w:val="lowerLetter"/>
      <w:lvlText w:val="%5."/>
      <w:lvlJc w:val="left"/>
      <w:pPr>
        <w:tabs>
          <w:tab w:val="num" w:pos="6165"/>
        </w:tabs>
        <w:ind w:left="6165" w:hanging="360"/>
      </w:pPr>
    </w:lvl>
    <w:lvl w:ilvl="5" w:tplc="0409001B" w:tentative="1">
      <w:start w:val="1"/>
      <w:numFmt w:val="lowerRoman"/>
      <w:lvlText w:val="%6."/>
      <w:lvlJc w:val="right"/>
      <w:pPr>
        <w:tabs>
          <w:tab w:val="num" w:pos="6885"/>
        </w:tabs>
        <w:ind w:left="6885" w:hanging="180"/>
      </w:pPr>
    </w:lvl>
    <w:lvl w:ilvl="6" w:tplc="0409000F" w:tentative="1">
      <w:start w:val="1"/>
      <w:numFmt w:val="decimal"/>
      <w:lvlText w:val="%7."/>
      <w:lvlJc w:val="left"/>
      <w:pPr>
        <w:tabs>
          <w:tab w:val="num" w:pos="7605"/>
        </w:tabs>
        <w:ind w:left="7605" w:hanging="360"/>
      </w:pPr>
    </w:lvl>
    <w:lvl w:ilvl="7" w:tplc="04090019" w:tentative="1">
      <w:start w:val="1"/>
      <w:numFmt w:val="lowerLetter"/>
      <w:lvlText w:val="%8."/>
      <w:lvlJc w:val="left"/>
      <w:pPr>
        <w:tabs>
          <w:tab w:val="num" w:pos="8325"/>
        </w:tabs>
        <w:ind w:left="8325" w:hanging="360"/>
      </w:pPr>
    </w:lvl>
    <w:lvl w:ilvl="8" w:tplc="0409001B" w:tentative="1">
      <w:start w:val="1"/>
      <w:numFmt w:val="lowerRoman"/>
      <w:lvlText w:val="%9."/>
      <w:lvlJc w:val="right"/>
      <w:pPr>
        <w:tabs>
          <w:tab w:val="num" w:pos="9045"/>
        </w:tabs>
        <w:ind w:left="904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8CF"/>
    <w:rsid w:val="0000440D"/>
    <w:rsid w:val="0001076E"/>
    <w:rsid w:val="000556BA"/>
    <w:rsid w:val="000868CF"/>
    <w:rsid w:val="000C198E"/>
    <w:rsid w:val="000F089A"/>
    <w:rsid w:val="000F6F1A"/>
    <w:rsid w:val="001764DD"/>
    <w:rsid w:val="001F6257"/>
    <w:rsid w:val="00203744"/>
    <w:rsid w:val="002B5185"/>
    <w:rsid w:val="003008DE"/>
    <w:rsid w:val="003841B2"/>
    <w:rsid w:val="003B5641"/>
    <w:rsid w:val="003C5BFC"/>
    <w:rsid w:val="00454E1E"/>
    <w:rsid w:val="0046439B"/>
    <w:rsid w:val="00470C43"/>
    <w:rsid w:val="00473BB7"/>
    <w:rsid w:val="00495934"/>
    <w:rsid w:val="004A42FE"/>
    <w:rsid w:val="004D71DD"/>
    <w:rsid w:val="00530AB4"/>
    <w:rsid w:val="005842FA"/>
    <w:rsid w:val="00586331"/>
    <w:rsid w:val="005B4CC9"/>
    <w:rsid w:val="005D64FD"/>
    <w:rsid w:val="007F7F0B"/>
    <w:rsid w:val="00866318"/>
    <w:rsid w:val="008752D4"/>
    <w:rsid w:val="00893A8F"/>
    <w:rsid w:val="008951A8"/>
    <w:rsid w:val="008A5CCE"/>
    <w:rsid w:val="008E5EB0"/>
    <w:rsid w:val="0090611D"/>
    <w:rsid w:val="00923A3E"/>
    <w:rsid w:val="00975C8F"/>
    <w:rsid w:val="00986ABB"/>
    <w:rsid w:val="009A3615"/>
    <w:rsid w:val="00A2749D"/>
    <w:rsid w:val="00A84280"/>
    <w:rsid w:val="00AA2456"/>
    <w:rsid w:val="00AF027D"/>
    <w:rsid w:val="00B10394"/>
    <w:rsid w:val="00B303AA"/>
    <w:rsid w:val="00B53ACF"/>
    <w:rsid w:val="00B9079A"/>
    <w:rsid w:val="00BA27EF"/>
    <w:rsid w:val="00C23DA6"/>
    <w:rsid w:val="00C70B9B"/>
    <w:rsid w:val="00CC3102"/>
    <w:rsid w:val="00CD1CEF"/>
    <w:rsid w:val="00CD292B"/>
    <w:rsid w:val="00CE644F"/>
    <w:rsid w:val="00CF7987"/>
    <w:rsid w:val="00D0588D"/>
    <w:rsid w:val="00D341FA"/>
    <w:rsid w:val="00D92119"/>
    <w:rsid w:val="00D94734"/>
    <w:rsid w:val="00DB698B"/>
    <w:rsid w:val="00DC5355"/>
    <w:rsid w:val="00DD527B"/>
    <w:rsid w:val="00DF5A52"/>
    <w:rsid w:val="00E017E2"/>
    <w:rsid w:val="00E70CCF"/>
    <w:rsid w:val="00E94FE3"/>
    <w:rsid w:val="00EB2280"/>
    <w:rsid w:val="00EC14F5"/>
    <w:rsid w:val="00F038B0"/>
    <w:rsid w:val="00F4306F"/>
    <w:rsid w:val="00FB18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0EED7AC-924C-4F5C-A57C-39BDE6413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outlineLvl w:val="0"/>
    </w:pPr>
    <w:rPr>
      <w:b/>
      <w:bCs/>
      <w:smallCaps/>
      <w:sz w:val="22"/>
      <w:szCs w:val="19"/>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paragraph" w:styleId="BalloonText">
    <w:name w:val="Balloon Text"/>
    <w:basedOn w:val="Normal"/>
    <w:semiHidden/>
    <w:rsid w:val="00024E4C"/>
    <w:rPr>
      <w:rFonts w:ascii="Tahoma" w:hAnsi="Tahoma" w:cs="Tahoma"/>
      <w:sz w:val="16"/>
      <w:szCs w:val="16"/>
    </w:rPr>
  </w:style>
  <w:style w:type="character" w:styleId="Strong">
    <w:name w:val="Strong"/>
    <w:qFormat/>
    <w:rsid w:val="00B74A60"/>
    <w:rPr>
      <w:b/>
      <w:bCs/>
    </w:rPr>
  </w:style>
  <w:style w:type="character" w:customStyle="1" w:styleId="Heading1Char">
    <w:name w:val="Heading 1 Char"/>
    <w:link w:val="Heading1"/>
    <w:uiPriority w:val="99"/>
    <w:locked/>
    <w:rsid w:val="00325814"/>
    <w:rPr>
      <w:b/>
      <w:bCs/>
      <w:smallCaps/>
      <w:sz w:val="22"/>
      <w:szCs w:val="19"/>
    </w:rPr>
  </w:style>
  <w:style w:type="character" w:customStyle="1" w:styleId="HTMLPreformattedChar">
    <w:name w:val="HTML Preformatted Char"/>
    <w:link w:val="HTMLPreformatted"/>
    <w:uiPriority w:val="99"/>
    <w:rsid w:val="005040D7"/>
    <w:rPr>
      <w:rFonts w:ascii="Courier New" w:hAnsi="Courier New" w:cs="Courier New"/>
    </w:rPr>
  </w:style>
  <w:style w:type="paragraph" w:customStyle="1" w:styleId="Default">
    <w:name w:val="Default"/>
    <w:rsid w:val="00DE6097"/>
    <w:pPr>
      <w:autoSpaceDE w:val="0"/>
      <w:autoSpaceDN w:val="0"/>
      <w:adjustRightInd w:val="0"/>
    </w:pPr>
    <w:rPr>
      <w:rFonts w:ascii="Garamond" w:hAnsi="Garamond" w:cs="Garamond"/>
      <w:color w:val="000000"/>
      <w:sz w:val="24"/>
      <w:szCs w:val="24"/>
    </w:rPr>
  </w:style>
  <w:style w:type="paragraph" w:styleId="Header">
    <w:name w:val="header"/>
    <w:basedOn w:val="Normal"/>
    <w:link w:val="HeaderChar"/>
    <w:rsid w:val="00D21859"/>
    <w:pPr>
      <w:tabs>
        <w:tab w:val="center" w:pos="4680"/>
        <w:tab w:val="right" w:pos="9360"/>
      </w:tabs>
    </w:pPr>
    <w:rPr>
      <w:lang w:val="x-none" w:eastAsia="x-none"/>
    </w:rPr>
  </w:style>
  <w:style w:type="character" w:customStyle="1" w:styleId="HeaderChar">
    <w:name w:val="Header Char"/>
    <w:link w:val="Header"/>
    <w:rsid w:val="00D21859"/>
    <w:rPr>
      <w:sz w:val="24"/>
      <w:szCs w:val="24"/>
    </w:rPr>
  </w:style>
  <w:style w:type="paragraph" w:styleId="Footer">
    <w:name w:val="footer"/>
    <w:basedOn w:val="Normal"/>
    <w:link w:val="FooterChar"/>
    <w:uiPriority w:val="99"/>
    <w:rsid w:val="00D21859"/>
    <w:pPr>
      <w:tabs>
        <w:tab w:val="center" w:pos="4680"/>
        <w:tab w:val="right" w:pos="9360"/>
      </w:tabs>
    </w:pPr>
    <w:rPr>
      <w:lang w:val="x-none" w:eastAsia="x-none"/>
    </w:rPr>
  </w:style>
  <w:style w:type="character" w:customStyle="1" w:styleId="FooterChar">
    <w:name w:val="Footer Char"/>
    <w:link w:val="Footer"/>
    <w:uiPriority w:val="99"/>
    <w:rsid w:val="00D21859"/>
    <w:rPr>
      <w:sz w:val="24"/>
      <w:szCs w:val="24"/>
    </w:rPr>
  </w:style>
  <w:style w:type="character" w:styleId="CommentReference">
    <w:name w:val="annotation reference"/>
    <w:basedOn w:val="DefaultParagraphFont"/>
    <w:rsid w:val="0083380F"/>
    <w:rPr>
      <w:sz w:val="18"/>
      <w:szCs w:val="18"/>
    </w:rPr>
  </w:style>
  <w:style w:type="paragraph" w:styleId="CommentText">
    <w:name w:val="annotation text"/>
    <w:basedOn w:val="Normal"/>
    <w:link w:val="CommentTextChar"/>
    <w:rsid w:val="0083380F"/>
  </w:style>
  <w:style w:type="character" w:customStyle="1" w:styleId="CommentTextChar">
    <w:name w:val="Comment Text Char"/>
    <w:basedOn w:val="DefaultParagraphFont"/>
    <w:link w:val="CommentText"/>
    <w:rsid w:val="0083380F"/>
    <w:rPr>
      <w:sz w:val="24"/>
      <w:szCs w:val="24"/>
    </w:rPr>
  </w:style>
  <w:style w:type="paragraph" w:styleId="CommentSubject">
    <w:name w:val="annotation subject"/>
    <w:basedOn w:val="CommentText"/>
    <w:next w:val="CommentText"/>
    <w:link w:val="CommentSubjectChar"/>
    <w:rsid w:val="0083380F"/>
    <w:rPr>
      <w:b/>
      <w:bCs/>
      <w:sz w:val="20"/>
      <w:szCs w:val="20"/>
    </w:rPr>
  </w:style>
  <w:style w:type="character" w:customStyle="1" w:styleId="CommentSubjectChar">
    <w:name w:val="Comment Subject Char"/>
    <w:basedOn w:val="CommentTextChar"/>
    <w:link w:val="CommentSubject"/>
    <w:rsid w:val="0083380F"/>
    <w:rPr>
      <w:b/>
      <w:bCs/>
      <w:sz w:val="24"/>
      <w:szCs w:val="24"/>
    </w:rPr>
  </w:style>
  <w:style w:type="paragraph" w:styleId="Revision">
    <w:name w:val="Revision"/>
    <w:hidden/>
    <w:uiPriority w:val="99"/>
    <w:semiHidden/>
    <w:rsid w:val="004A42F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0053">
      <w:bodyDiv w:val="1"/>
      <w:marLeft w:val="0"/>
      <w:marRight w:val="0"/>
      <w:marTop w:val="0"/>
      <w:marBottom w:val="0"/>
      <w:divBdr>
        <w:top w:val="none" w:sz="0" w:space="0" w:color="auto"/>
        <w:left w:val="none" w:sz="0" w:space="0" w:color="auto"/>
        <w:bottom w:val="none" w:sz="0" w:space="0" w:color="auto"/>
        <w:right w:val="none" w:sz="0" w:space="0" w:color="auto"/>
      </w:divBdr>
    </w:div>
    <w:div w:id="94444542">
      <w:bodyDiv w:val="1"/>
      <w:marLeft w:val="0"/>
      <w:marRight w:val="0"/>
      <w:marTop w:val="0"/>
      <w:marBottom w:val="0"/>
      <w:divBdr>
        <w:top w:val="none" w:sz="0" w:space="0" w:color="auto"/>
        <w:left w:val="none" w:sz="0" w:space="0" w:color="auto"/>
        <w:bottom w:val="none" w:sz="0" w:space="0" w:color="auto"/>
        <w:right w:val="none" w:sz="0" w:space="0" w:color="auto"/>
      </w:divBdr>
    </w:div>
    <w:div w:id="210312418">
      <w:bodyDiv w:val="1"/>
      <w:marLeft w:val="0"/>
      <w:marRight w:val="0"/>
      <w:marTop w:val="0"/>
      <w:marBottom w:val="0"/>
      <w:divBdr>
        <w:top w:val="none" w:sz="0" w:space="0" w:color="auto"/>
        <w:left w:val="none" w:sz="0" w:space="0" w:color="auto"/>
        <w:bottom w:val="none" w:sz="0" w:space="0" w:color="auto"/>
        <w:right w:val="none" w:sz="0" w:space="0" w:color="auto"/>
      </w:divBdr>
    </w:div>
    <w:div w:id="232548648">
      <w:bodyDiv w:val="1"/>
      <w:marLeft w:val="0"/>
      <w:marRight w:val="0"/>
      <w:marTop w:val="0"/>
      <w:marBottom w:val="0"/>
      <w:divBdr>
        <w:top w:val="none" w:sz="0" w:space="0" w:color="auto"/>
        <w:left w:val="none" w:sz="0" w:space="0" w:color="auto"/>
        <w:bottom w:val="none" w:sz="0" w:space="0" w:color="auto"/>
        <w:right w:val="none" w:sz="0" w:space="0" w:color="auto"/>
      </w:divBdr>
    </w:div>
    <w:div w:id="251671959">
      <w:bodyDiv w:val="1"/>
      <w:marLeft w:val="0"/>
      <w:marRight w:val="0"/>
      <w:marTop w:val="0"/>
      <w:marBottom w:val="0"/>
      <w:divBdr>
        <w:top w:val="none" w:sz="0" w:space="0" w:color="auto"/>
        <w:left w:val="none" w:sz="0" w:space="0" w:color="auto"/>
        <w:bottom w:val="none" w:sz="0" w:space="0" w:color="auto"/>
        <w:right w:val="none" w:sz="0" w:space="0" w:color="auto"/>
      </w:divBdr>
    </w:div>
    <w:div w:id="304162572">
      <w:bodyDiv w:val="1"/>
      <w:marLeft w:val="0"/>
      <w:marRight w:val="0"/>
      <w:marTop w:val="0"/>
      <w:marBottom w:val="0"/>
      <w:divBdr>
        <w:top w:val="none" w:sz="0" w:space="0" w:color="auto"/>
        <w:left w:val="none" w:sz="0" w:space="0" w:color="auto"/>
        <w:bottom w:val="none" w:sz="0" w:space="0" w:color="auto"/>
        <w:right w:val="none" w:sz="0" w:space="0" w:color="auto"/>
      </w:divBdr>
    </w:div>
    <w:div w:id="322003209">
      <w:bodyDiv w:val="1"/>
      <w:marLeft w:val="0"/>
      <w:marRight w:val="0"/>
      <w:marTop w:val="0"/>
      <w:marBottom w:val="0"/>
      <w:divBdr>
        <w:top w:val="none" w:sz="0" w:space="0" w:color="auto"/>
        <w:left w:val="none" w:sz="0" w:space="0" w:color="auto"/>
        <w:bottom w:val="none" w:sz="0" w:space="0" w:color="auto"/>
        <w:right w:val="none" w:sz="0" w:space="0" w:color="auto"/>
      </w:divBdr>
    </w:div>
    <w:div w:id="364673231">
      <w:bodyDiv w:val="1"/>
      <w:marLeft w:val="0"/>
      <w:marRight w:val="0"/>
      <w:marTop w:val="0"/>
      <w:marBottom w:val="0"/>
      <w:divBdr>
        <w:top w:val="none" w:sz="0" w:space="0" w:color="auto"/>
        <w:left w:val="none" w:sz="0" w:space="0" w:color="auto"/>
        <w:bottom w:val="none" w:sz="0" w:space="0" w:color="auto"/>
        <w:right w:val="none" w:sz="0" w:space="0" w:color="auto"/>
      </w:divBdr>
    </w:div>
    <w:div w:id="374037923">
      <w:bodyDiv w:val="1"/>
      <w:marLeft w:val="0"/>
      <w:marRight w:val="0"/>
      <w:marTop w:val="0"/>
      <w:marBottom w:val="0"/>
      <w:divBdr>
        <w:top w:val="none" w:sz="0" w:space="0" w:color="auto"/>
        <w:left w:val="none" w:sz="0" w:space="0" w:color="auto"/>
        <w:bottom w:val="none" w:sz="0" w:space="0" w:color="auto"/>
        <w:right w:val="none" w:sz="0" w:space="0" w:color="auto"/>
      </w:divBdr>
    </w:div>
    <w:div w:id="414590534">
      <w:bodyDiv w:val="1"/>
      <w:marLeft w:val="0"/>
      <w:marRight w:val="0"/>
      <w:marTop w:val="0"/>
      <w:marBottom w:val="0"/>
      <w:divBdr>
        <w:top w:val="none" w:sz="0" w:space="0" w:color="auto"/>
        <w:left w:val="none" w:sz="0" w:space="0" w:color="auto"/>
        <w:bottom w:val="none" w:sz="0" w:space="0" w:color="auto"/>
        <w:right w:val="none" w:sz="0" w:space="0" w:color="auto"/>
      </w:divBdr>
    </w:div>
    <w:div w:id="521751107">
      <w:bodyDiv w:val="1"/>
      <w:marLeft w:val="0"/>
      <w:marRight w:val="0"/>
      <w:marTop w:val="75"/>
      <w:marBottom w:val="75"/>
      <w:divBdr>
        <w:top w:val="none" w:sz="0" w:space="0" w:color="auto"/>
        <w:left w:val="none" w:sz="0" w:space="0" w:color="auto"/>
        <w:bottom w:val="none" w:sz="0" w:space="0" w:color="auto"/>
        <w:right w:val="none" w:sz="0" w:space="0" w:color="auto"/>
      </w:divBdr>
      <w:divsChild>
        <w:div w:id="953024940">
          <w:marLeft w:val="0"/>
          <w:marRight w:val="0"/>
          <w:marTop w:val="0"/>
          <w:marBottom w:val="0"/>
          <w:divBdr>
            <w:top w:val="single" w:sz="6" w:space="0" w:color="000066"/>
            <w:left w:val="single" w:sz="6" w:space="0" w:color="000066"/>
            <w:bottom w:val="single" w:sz="6" w:space="0" w:color="000066"/>
            <w:right w:val="single" w:sz="6" w:space="0" w:color="000066"/>
          </w:divBdr>
          <w:divsChild>
            <w:div w:id="149317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541615">
      <w:bodyDiv w:val="1"/>
      <w:marLeft w:val="0"/>
      <w:marRight w:val="0"/>
      <w:marTop w:val="0"/>
      <w:marBottom w:val="0"/>
      <w:divBdr>
        <w:top w:val="none" w:sz="0" w:space="0" w:color="auto"/>
        <w:left w:val="none" w:sz="0" w:space="0" w:color="auto"/>
        <w:bottom w:val="none" w:sz="0" w:space="0" w:color="auto"/>
        <w:right w:val="none" w:sz="0" w:space="0" w:color="auto"/>
      </w:divBdr>
    </w:div>
    <w:div w:id="716662907">
      <w:bodyDiv w:val="1"/>
      <w:marLeft w:val="0"/>
      <w:marRight w:val="0"/>
      <w:marTop w:val="0"/>
      <w:marBottom w:val="0"/>
      <w:divBdr>
        <w:top w:val="none" w:sz="0" w:space="0" w:color="auto"/>
        <w:left w:val="none" w:sz="0" w:space="0" w:color="auto"/>
        <w:bottom w:val="none" w:sz="0" w:space="0" w:color="auto"/>
        <w:right w:val="none" w:sz="0" w:space="0" w:color="auto"/>
      </w:divBdr>
    </w:div>
    <w:div w:id="776565591">
      <w:bodyDiv w:val="1"/>
      <w:marLeft w:val="0"/>
      <w:marRight w:val="0"/>
      <w:marTop w:val="0"/>
      <w:marBottom w:val="0"/>
      <w:divBdr>
        <w:top w:val="none" w:sz="0" w:space="0" w:color="auto"/>
        <w:left w:val="none" w:sz="0" w:space="0" w:color="auto"/>
        <w:bottom w:val="none" w:sz="0" w:space="0" w:color="auto"/>
        <w:right w:val="none" w:sz="0" w:space="0" w:color="auto"/>
      </w:divBdr>
    </w:div>
    <w:div w:id="812982861">
      <w:bodyDiv w:val="1"/>
      <w:marLeft w:val="0"/>
      <w:marRight w:val="0"/>
      <w:marTop w:val="0"/>
      <w:marBottom w:val="0"/>
      <w:divBdr>
        <w:top w:val="none" w:sz="0" w:space="0" w:color="auto"/>
        <w:left w:val="none" w:sz="0" w:space="0" w:color="auto"/>
        <w:bottom w:val="none" w:sz="0" w:space="0" w:color="auto"/>
        <w:right w:val="none" w:sz="0" w:space="0" w:color="auto"/>
      </w:divBdr>
    </w:div>
    <w:div w:id="814180873">
      <w:bodyDiv w:val="1"/>
      <w:marLeft w:val="0"/>
      <w:marRight w:val="0"/>
      <w:marTop w:val="0"/>
      <w:marBottom w:val="0"/>
      <w:divBdr>
        <w:top w:val="none" w:sz="0" w:space="0" w:color="auto"/>
        <w:left w:val="none" w:sz="0" w:space="0" w:color="auto"/>
        <w:bottom w:val="none" w:sz="0" w:space="0" w:color="auto"/>
        <w:right w:val="none" w:sz="0" w:space="0" w:color="auto"/>
      </w:divBdr>
    </w:div>
    <w:div w:id="840268235">
      <w:bodyDiv w:val="1"/>
      <w:marLeft w:val="0"/>
      <w:marRight w:val="0"/>
      <w:marTop w:val="0"/>
      <w:marBottom w:val="0"/>
      <w:divBdr>
        <w:top w:val="none" w:sz="0" w:space="0" w:color="auto"/>
        <w:left w:val="none" w:sz="0" w:space="0" w:color="auto"/>
        <w:bottom w:val="none" w:sz="0" w:space="0" w:color="auto"/>
        <w:right w:val="none" w:sz="0" w:space="0" w:color="auto"/>
      </w:divBdr>
    </w:div>
    <w:div w:id="865487860">
      <w:bodyDiv w:val="1"/>
      <w:marLeft w:val="0"/>
      <w:marRight w:val="0"/>
      <w:marTop w:val="0"/>
      <w:marBottom w:val="0"/>
      <w:divBdr>
        <w:top w:val="none" w:sz="0" w:space="0" w:color="auto"/>
        <w:left w:val="none" w:sz="0" w:space="0" w:color="auto"/>
        <w:bottom w:val="none" w:sz="0" w:space="0" w:color="auto"/>
        <w:right w:val="none" w:sz="0" w:space="0" w:color="auto"/>
      </w:divBdr>
    </w:div>
    <w:div w:id="870537607">
      <w:bodyDiv w:val="1"/>
      <w:marLeft w:val="0"/>
      <w:marRight w:val="0"/>
      <w:marTop w:val="0"/>
      <w:marBottom w:val="0"/>
      <w:divBdr>
        <w:top w:val="none" w:sz="0" w:space="0" w:color="auto"/>
        <w:left w:val="none" w:sz="0" w:space="0" w:color="auto"/>
        <w:bottom w:val="none" w:sz="0" w:space="0" w:color="auto"/>
        <w:right w:val="none" w:sz="0" w:space="0" w:color="auto"/>
      </w:divBdr>
    </w:div>
    <w:div w:id="925040735">
      <w:bodyDiv w:val="1"/>
      <w:marLeft w:val="0"/>
      <w:marRight w:val="0"/>
      <w:marTop w:val="0"/>
      <w:marBottom w:val="0"/>
      <w:divBdr>
        <w:top w:val="none" w:sz="0" w:space="0" w:color="auto"/>
        <w:left w:val="none" w:sz="0" w:space="0" w:color="auto"/>
        <w:bottom w:val="none" w:sz="0" w:space="0" w:color="auto"/>
        <w:right w:val="none" w:sz="0" w:space="0" w:color="auto"/>
      </w:divBdr>
    </w:div>
    <w:div w:id="961887658">
      <w:bodyDiv w:val="1"/>
      <w:marLeft w:val="0"/>
      <w:marRight w:val="0"/>
      <w:marTop w:val="0"/>
      <w:marBottom w:val="0"/>
      <w:divBdr>
        <w:top w:val="none" w:sz="0" w:space="0" w:color="auto"/>
        <w:left w:val="none" w:sz="0" w:space="0" w:color="auto"/>
        <w:bottom w:val="none" w:sz="0" w:space="0" w:color="auto"/>
        <w:right w:val="none" w:sz="0" w:space="0" w:color="auto"/>
      </w:divBdr>
    </w:div>
    <w:div w:id="1033925470">
      <w:bodyDiv w:val="1"/>
      <w:marLeft w:val="0"/>
      <w:marRight w:val="0"/>
      <w:marTop w:val="75"/>
      <w:marBottom w:val="75"/>
      <w:divBdr>
        <w:top w:val="none" w:sz="0" w:space="0" w:color="auto"/>
        <w:left w:val="none" w:sz="0" w:space="0" w:color="auto"/>
        <w:bottom w:val="none" w:sz="0" w:space="0" w:color="auto"/>
        <w:right w:val="none" w:sz="0" w:space="0" w:color="auto"/>
      </w:divBdr>
      <w:divsChild>
        <w:div w:id="563565605">
          <w:marLeft w:val="0"/>
          <w:marRight w:val="0"/>
          <w:marTop w:val="0"/>
          <w:marBottom w:val="0"/>
          <w:divBdr>
            <w:top w:val="single" w:sz="6" w:space="0" w:color="000066"/>
            <w:left w:val="single" w:sz="6" w:space="0" w:color="000066"/>
            <w:bottom w:val="single" w:sz="6" w:space="0" w:color="000066"/>
            <w:right w:val="single" w:sz="6" w:space="0" w:color="000066"/>
          </w:divBdr>
          <w:divsChild>
            <w:div w:id="144495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046321">
      <w:bodyDiv w:val="1"/>
      <w:marLeft w:val="0"/>
      <w:marRight w:val="0"/>
      <w:marTop w:val="0"/>
      <w:marBottom w:val="0"/>
      <w:divBdr>
        <w:top w:val="none" w:sz="0" w:space="0" w:color="auto"/>
        <w:left w:val="none" w:sz="0" w:space="0" w:color="auto"/>
        <w:bottom w:val="none" w:sz="0" w:space="0" w:color="auto"/>
        <w:right w:val="none" w:sz="0" w:space="0" w:color="auto"/>
      </w:divBdr>
    </w:div>
    <w:div w:id="1172722301">
      <w:bodyDiv w:val="1"/>
      <w:marLeft w:val="0"/>
      <w:marRight w:val="0"/>
      <w:marTop w:val="0"/>
      <w:marBottom w:val="0"/>
      <w:divBdr>
        <w:top w:val="none" w:sz="0" w:space="0" w:color="auto"/>
        <w:left w:val="none" w:sz="0" w:space="0" w:color="auto"/>
        <w:bottom w:val="none" w:sz="0" w:space="0" w:color="auto"/>
        <w:right w:val="none" w:sz="0" w:space="0" w:color="auto"/>
      </w:divBdr>
    </w:div>
    <w:div w:id="1186942695">
      <w:bodyDiv w:val="1"/>
      <w:marLeft w:val="0"/>
      <w:marRight w:val="0"/>
      <w:marTop w:val="0"/>
      <w:marBottom w:val="0"/>
      <w:divBdr>
        <w:top w:val="none" w:sz="0" w:space="0" w:color="auto"/>
        <w:left w:val="none" w:sz="0" w:space="0" w:color="auto"/>
        <w:bottom w:val="none" w:sz="0" w:space="0" w:color="auto"/>
        <w:right w:val="none" w:sz="0" w:space="0" w:color="auto"/>
      </w:divBdr>
    </w:div>
    <w:div w:id="1269314364">
      <w:bodyDiv w:val="1"/>
      <w:marLeft w:val="0"/>
      <w:marRight w:val="0"/>
      <w:marTop w:val="0"/>
      <w:marBottom w:val="0"/>
      <w:divBdr>
        <w:top w:val="none" w:sz="0" w:space="0" w:color="auto"/>
        <w:left w:val="none" w:sz="0" w:space="0" w:color="auto"/>
        <w:bottom w:val="none" w:sz="0" w:space="0" w:color="auto"/>
        <w:right w:val="none" w:sz="0" w:space="0" w:color="auto"/>
      </w:divBdr>
    </w:div>
    <w:div w:id="1380981853">
      <w:bodyDiv w:val="1"/>
      <w:marLeft w:val="0"/>
      <w:marRight w:val="0"/>
      <w:marTop w:val="0"/>
      <w:marBottom w:val="0"/>
      <w:divBdr>
        <w:top w:val="none" w:sz="0" w:space="0" w:color="auto"/>
        <w:left w:val="none" w:sz="0" w:space="0" w:color="auto"/>
        <w:bottom w:val="none" w:sz="0" w:space="0" w:color="auto"/>
        <w:right w:val="none" w:sz="0" w:space="0" w:color="auto"/>
      </w:divBdr>
    </w:div>
    <w:div w:id="1399668696">
      <w:bodyDiv w:val="1"/>
      <w:marLeft w:val="0"/>
      <w:marRight w:val="0"/>
      <w:marTop w:val="0"/>
      <w:marBottom w:val="0"/>
      <w:divBdr>
        <w:top w:val="none" w:sz="0" w:space="0" w:color="auto"/>
        <w:left w:val="none" w:sz="0" w:space="0" w:color="auto"/>
        <w:bottom w:val="none" w:sz="0" w:space="0" w:color="auto"/>
        <w:right w:val="none" w:sz="0" w:space="0" w:color="auto"/>
      </w:divBdr>
    </w:div>
    <w:div w:id="1539778861">
      <w:bodyDiv w:val="1"/>
      <w:marLeft w:val="0"/>
      <w:marRight w:val="0"/>
      <w:marTop w:val="0"/>
      <w:marBottom w:val="0"/>
      <w:divBdr>
        <w:top w:val="none" w:sz="0" w:space="0" w:color="auto"/>
        <w:left w:val="none" w:sz="0" w:space="0" w:color="auto"/>
        <w:bottom w:val="none" w:sz="0" w:space="0" w:color="auto"/>
        <w:right w:val="none" w:sz="0" w:space="0" w:color="auto"/>
      </w:divBdr>
    </w:div>
    <w:div w:id="1652908339">
      <w:bodyDiv w:val="1"/>
      <w:marLeft w:val="0"/>
      <w:marRight w:val="0"/>
      <w:marTop w:val="0"/>
      <w:marBottom w:val="0"/>
      <w:divBdr>
        <w:top w:val="none" w:sz="0" w:space="0" w:color="auto"/>
        <w:left w:val="none" w:sz="0" w:space="0" w:color="auto"/>
        <w:bottom w:val="none" w:sz="0" w:space="0" w:color="auto"/>
        <w:right w:val="none" w:sz="0" w:space="0" w:color="auto"/>
      </w:divBdr>
    </w:div>
    <w:div w:id="1734573021">
      <w:bodyDiv w:val="1"/>
      <w:marLeft w:val="0"/>
      <w:marRight w:val="0"/>
      <w:marTop w:val="0"/>
      <w:marBottom w:val="0"/>
      <w:divBdr>
        <w:top w:val="none" w:sz="0" w:space="0" w:color="auto"/>
        <w:left w:val="none" w:sz="0" w:space="0" w:color="auto"/>
        <w:bottom w:val="none" w:sz="0" w:space="0" w:color="auto"/>
        <w:right w:val="none" w:sz="0" w:space="0" w:color="auto"/>
      </w:divBdr>
    </w:div>
    <w:div w:id="1763211856">
      <w:bodyDiv w:val="1"/>
      <w:marLeft w:val="0"/>
      <w:marRight w:val="0"/>
      <w:marTop w:val="0"/>
      <w:marBottom w:val="0"/>
      <w:divBdr>
        <w:top w:val="none" w:sz="0" w:space="0" w:color="auto"/>
        <w:left w:val="none" w:sz="0" w:space="0" w:color="auto"/>
        <w:bottom w:val="none" w:sz="0" w:space="0" w:color="auto"/>
        <w:right w:val="none" w:sz="0" w:space="0" w:color="auto"/>
      </w:divBdr>
    </w:div>
    <w:div w:id="1892182693">
      <w:bodyDiv w:val="1"/>
      <w:marLeft w:val="0"/>
      <w:marRight w:val="0"/>
      <w:marTop w:val="0"/>
      <w:marBottom w:val="0"/>
      <w:divBdr>
        <w:top w:val="none" w:sz="0" w:space="0" w:color="auto"/>
        <w:left w:val="none" w:sz="0" w:space="0" w:color="auto"/>
        <w:bottom w:val="none" w:sz="0" w:space="0" w:color="auto"/>
        <w:right w:val="none" w:sz="0" w:space="0" w:color="auto"/>
      </w:divBdr>
    </w:div>
    <w:div w:id="1906605964">
      <w:bodyDiv w:val="1"/>
      <w:marLeft w:val="0"/>
      <w:marRight w:val="0"/>
      <w:marTop w:val="0"/>
      <w:marBottom w:val="0"/>
      <w:divBdr>
        <w:top w:val="none" w:sz="0" w:space="0" w:color="auto"/>
        <w:left w:val="none" w:sz="0" w:space="0" w:color="auto"/>
        <w:bottom w:val="none" w:sz="0" w:space="0" w:color="auto"/>
        <w:right w:val="none" w:sz="0" w:space="0" w:color="auto"/>
      </w:divBdr>
    </w:div>
    <w:div w:id="1942640576">
      <w:bodyDiv w:val="1"/>
      <w:marLeft w:val="0"/>
      <w:marRight w:val="0"/>
      <w:marTop w:val="0"/>
      <w:marBottom w:val="0"/>
      <w:divBdr>
        <w:top w:val="none" w:sz="0" w:space="0" w:color="auto"/>
        <w:left w:val="none" w:sz="0" w:space="0" w:color="auto"/>
        <w:bottom w:val="none" w:sz="0" w:space="0" w:color="auto"/>
        <w:right w:val="none" w:sz="0" w:space="0" w:color="auto"/>
      </w:divBdr>
    </w:div>
    <w:div w:id="1963919256">
      <w:bodyDiv w:val="1"/>
      <w:marLeft w:val="0"/>
      <w:marRight w:val="0"/>
      <w:marTop w:val="0"/>
      <w:marBottom w:val="0"/>
      <w:divBdr>
        <w:top w:val="none" w:sz="0" w:space="0" w:color="auto"/>
        <w:left w:val="none" w:sz="0" w:space="0" w:color="auto"/>
        <w:bottom w:val="none" w:sz="0" w:space="0" w:color="auto"/>
        <w:right w:val="none" w:sz="0" w:space="0" w:color="auto"/>
      </w:divBdr>
    </w:div>
    <w:div w:id="1973249851">
      <w:bodyDiv w:val="1"/>
      <w:marLeft w:val="0"/>
      <w:marRight w:val="0"/>
      <w:marTop w:val="0"/>
      <w:marBottom w:val="0"/>
      <w:divBdr>
        <w:top w:val="none" w:sz="0" w:space="0" w:color="auto"/>
        <w:left w:val="none" w:sz="0" w:space="0" w:color="auto"/>
        <w:bottom w:val="none" w:sz="0" w:space="0" w:color="auto"/>
        <w:right w:val="none" w:sz="0" w:space="0" w:color="auto"/>
      </w:divBdr>
    </w:div>
    <w:div w:id="2067101698">
      <w:bodyDiv w:val="1"/>
      <w:marLeft w:val="0"/>
      <w:marRight w:val="0"/>
      <w:marTop w:val="0"/>
      <w:marBottom w:val="0"/>
      <w:divBdr>
        <w:top w:val="none" w:sz="0" w:space="0" w:color="auto"/>
        <w:left w:val="none" w:sz="0" w:space="0" w:color="auto"/>
        <w:bottom w:val="none" w:sz="0" w:space="0" w:color="auto"/>
        <w:right w:val="none" w:sz="0" w:space="0" w:color="auto"/>
      </w:divBdr>
    </w:div>
    <w:div w:id="2068063315">
      <w:bodyDiv w:val="1"/>
      <w:marLeft w:val="0"/>
      <w:marRight w:val="0"/>
      <w:marTop w:val="0"/>
      <w:marBottom w:val="0"/>
      <w:divBdr>
        <w:top w:val="none" w:sz="0" w:space="0" w:color="auto"/>
        <w:left w:val="none" w:sz="0" w:space="0" w:color="auto"/>
        <w:bottom w:val="none" w:sz="0" w:space="0" w:color="auto"/>
        <w:right w:val="none" w:sz="0" w:space="0" w:color="auto"/>
      </w:divBdr>
    </w:div>
    <w:div w:id="2077123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313</Words>
  <Characters>1966</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NYCC</Company>
  <LinksUpToDate>false</LinksUpToDate>
  <CharactersWithSpaces>2275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finwalla</dc:creator>
  <cp:lastModifiedBy>DelFranco, Ruthie</cp:lastModifiedBy>
  <cp:revision>2</cp:revision>
  <cp:lastPrinted>2017-06-15T13:12:00Z</cp:lastPrinted>
  <dcterms:created xsi:type="dcterms:W3CDTF">2023-05-25T14:25:00Z</dcterms:created>
  <dcterms:modified xsi:type="dcterms:W3CDTF">2023-05-25T14:25:00Z</dcterms:modified>
</cp:coreProperties>
</file>